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4178"/>
        <w:gridCol w:w="4902"/>
      </w:tblGrid>
      <w:tr w:rsidR="00C73247" w:rsidRPr="006A4EAD" w:rsidTr="00753915">
        <w:trPr>
          <w:trHeight w:val="1410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C73247" w:rsidRPr="006A4EAD" w:rsidRDefault="00C73247" w:rsidP="0075391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6A4EAD">
              <w:rPr>
                <w:b/>
                <w:sz w:val="32"/>
                <w:szCs w:val="32"/>
              </w:rPr>
              <w:br w:type="page"/>
            </w:r>
            <w:r w:rsidRPr="006A4EAD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1752600" cy="657225"/>
                  <wp:effectExtent l="0" t="0" r="0" b="9525"/>
                  <wp:docPr id="3" name="Immagine 1" descr="http://www.apiceuropa.com/wp2/wp-content/uploads/2016/12/CEN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apiceuropa.com/wp2/wp-content/uploads/2016/12/CEN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73247" w:rsidRPr="006A4EAD" w:rsidRDefault="00C73247" w:rsidP="007539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6A4EAD">
              <w:rPr>
                <w:rFonts w:ascii="Arial" w:hAnsi="Arial" w:cs="Arial"/>
                <w:noProof/>
                <w:color w:val="00559F"/>
                <w:sz w:val="32"/>
                <w:szCs w:val="32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2600696" cy="536886"/>
                  <wp:effectExtent l="19050" t="0" r="9154" b="0"/>
                  <wp:docPr id="4" name="Immagine 3" descr="Confcooperative">
                    <a:hlinkClick xmlns:a="http://schemas.openxmlformats.org/drawingml/2006/main" r:id="rId5" tooltip="&quot;Confcooperativ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fcoope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696" cy="53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247" w:rsidRPr="004E0A4F" w:rsidRDefault="00C73247" w:rsidP="00C73247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it-IT"/>
        </w:rPr>
      </w:pPr>
      <w:r w:rsidRPr="004E0A4F">
        <w:rPr>
          <w:rFonts w:ascii="Times New Roman" w:eastAsia="Times New Roman" w:hAnsi="Times New Roman"/>
          <w:b/>
          <w:smallCaps/>
          <w:color w:val="365F91"/>
          <w:sz w:val="36"/>
          <w:szCs w:val="36"/>
          <w:lang w:eastAsia="it-IT"/>
        </w:rPr>
        <w:t>Focus Censis/Confcooperative</w:t>
      </w:r>
    </w:p>
    <w:p w:rsidR="00C73247" w:rsidRPr="006A4EAD" w:rsidRDefault="00C73247" w:rsidP="00C7324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bCs/>
          <w:smallCaps/>
          <w:color w:val="365F91"/>
          <w:sz w:val="32"/>
          <w:szCs w:val="32"/>
        </w:rPr>
      </w:pPr>
      <w:r w:rsidRPr="006A4EAD">
        <w:rPr>
          <w:rFonts w:ascii="Times New Roman" w:hAnsi="Times New Roman"/>
          <w:b/>
          <w:bCs/>
          <w:smallCaps/>
          <w:color w:val="365F91"/>
          <w:sz w:val="32"/>
          <w:szCs w:val="32"/>
        </w:rPr>
        <w:t xml:space="preserve">recovery, Italia ultima chiamata </w:t>
      </w:r>
    </w:p>
    <w:p w:rsidR="00C73247" w:rsidRPr="00FE1DA3" w:rsidRDefault="00C73247" w:rsidP="00C7324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bCs/>
          <w:smallCaps/>
          <w:color w:val="365F91"/>
          <w:sz w:val="30"/>
          <w:szCs w:val="30"/>
        </w:rPr>
      </w:pPr>
      <w:r w:rsidRPr="00FE1DA3">
        <w:rPr>
          <w:rFonts w:ascii="Times New Roman" w:hAnsi="Times New Roman"/>
          <w:b/>
          <w:bCs/>
          <w:smallCaps/>
          <w:color w:val="365F91"/>
          <w:sz w:val="30"/>
          <w:szCs w:val="30"/>
        </w:rPr>
        <w:t>spesa infrastrutture: entro il 2030 effetto leva da 666 miliardi e 4,2 milioni di nuovi posti di lavoro: la metà arriva dal Recovery</w:t>
      </w:r>
    </w:p>
    <w:p w:rsidR="00C73247" w:rsidRDefault="00C73247" w:rsidP="00C7324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bCs/>
          <w:smallCaps/>
          <w:color w:val="365F91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365F91"/>
          <w:sz w:val="28"/>
          <w:szCs w:val="28"/>
        </w:rPr>
        <w:t>Il ritardo infrastrutturale fa perdere 60 miliardi di export l’anno</w:t>
      </w:r>
    </w:p>
    <w:p w:rsidR="00C73247" w:rsidRPr="009C0BD8" w:rsidRDefault="00C73247" w:rsidP="00C7324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bCs/>
          <w:smallCaps/>
          <w:color w:val="365F91"/>
          <w:sz w:val="28"/>
          <w:szCs w:val="28"/>
        </w:rPr>
      </w:pPr>
      <w:r w:rsidRPr="004E0A4F">
        <w:rPr>
          <w:rFonts w:ascii="Times New Roman" w:hAnsi="Times New Roman"/>
          <w:b/>
          <w:bCs/>
          <w:smallCaps/>
          <w:color w:val="365F91"/>
          <w:sz w:val="28"/>
          <w:szCs w:val="28"/>
        </w:rPr>
        <w:t>Sud, da green e digitale spinta al pil dell’11,6%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hAnsi="Times New Roman"/>
          <w:b/>
          <w:bCs/>
          <w:smallCaps/>
          <w:color w:val="365F91"/>
          <w:sz w:val="28"/>
          <w:szCs w:val="28"/>
        </w:rPr>
      </w:pPr>
      <w:bookmarkStart w:id="1" w:name="_Toc67662933"/>
      <w:r w:rsidRPr="009C6F37">
        <w:rPr>
          <w:rFonts w:ascii="Times New Roman" w:hAnsi="Times New Roman"/>
          <w:b/>
          <w:bCs/>
          <w:smallCaps/>
          <w:color w:val="365F91"/>
          <w:sz w:val="28"/>
          <w:szCs w:val="28"/>
        </w:rPr>
        <w:t>I</w:t>
      </w:r>
      <w:r>
        <w:rPr>
          <w:rFonts w:ascii="Times New Roman" w:hAnsi="Times New Roman"/>
          <w:b/>
          <w:bCs/>
          <w:smallCaps/>
          <w:color w:val="365F91"/>
          <w:sz w:val="28"/>
          <w:szCs w:val="28"/>
        </w:rPr>
        <w:t>ntroduzione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B776F4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Tra il 2000 e il 2019 l’Italia ha perso 380 miliardi di ricchezza (pari ad almeno 10 leggi finanziarie in tempi pre Covid) rispetto alla crescita media dell’Area Euro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. </w:t>
      </w:r>
      <w:r w:rsidRPr="00B776F4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Nello stesso periodo l’economia del nostro Paese è cresciuta solo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de</w:t>
      </w:r>
      <w:r w:rsidRPr="00B776F4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l 3,9%, contro una media degli Stati con la moneta unica del 26%.</w:t>
      </w:r>
      <w:r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</w:pPr>
      <w:r w:rsidRPr="005B7C9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Nella fase più dura della crisi finanziaria, fra il 2007 e il 2013, l’Italia ha perso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l’8,5%</w:t>
      </w:r>
      <w:r w:rsidRPr="005B7C9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 di Pil, contro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l’1,5%</w:t>
      </w:r>
      <w:r w:rsidRPr="005B7C9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 degli altri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P</w:t>
      </w:r>
      <w:r w:rsidRPr="005B7C9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aesi.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 Negli anni tra il 2014 e il 2019 ha lasciato sul terreno 85 miliardi di euro.</w:t>
      </w:r>
    </w:p>
    <w:p w:rsidR="00C73247" w:rsidRPr="00833F27" w:rsidRDefault="00C73247" w:rsidP="00833F27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33F2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«Occorre un via libera veloce ai cantieri. Tra DEF e Recovery – dice Maurizio Gardini, presidente Confcooperative – </w:t>
      </w:r>
      <w:r w:rsidR="00833F27" w:rsidRPr="00833F27">
        <w:rPr>
          <w:rFonts w:ascii="Times New Roman" w:hAnsi="Times New Roman"/>
          <w:b/>
          <w:color w:val="0D0D0D" w:themeColor="text1" w:themeTint="F2"/>
          <w:sz w:val="24"/>
          <w:szCs w:val="24"/>
        </w:rPr>
        <w:t>abbiamo l’irripetibile opportunità di attivare, grazie agli investimenti, un effetto leva da 666 miliardi</w:t>
      </w:r>
      <w:r w:rsidRPr="00833F27">
        <w:rPr>
          <w:rFonts w:ascii="Times New Roman" w:hAnsi="Times New Roman"/>
          <w:b/>
          <w:color w:val="0D0D0D" w:themeColor="text1" w:themeTint="F2"/>
          <w:sz w:val="24"/>
          <w:szCs w:val="24"/>
        </w:rPr>
        <w:t>, creare 4,2 milioni di nuovi posti di lavoro e mettere il turbo alla nostra economia».</w:t>
      </w:r>
    </w:p>
    <w:p w:rsidR="00C73247" w:rsidRPr="00901EEB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Infrastrutture e il gap da colmare</w:t>
      </w:r>
      <w:bookmarkEnd w:id="1"/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: Gardini «Il ritardo pesa per 60 miliardi di mancato export» </w:t>
      </w:r>
    </w:p>
    <w:p w:rsidR="00C73247" w:rsidRPr="004905AC" w:rsidRDefault="00C73247" w:rsidP="00C73247">
      <w:pPr>
        <w:spacing w:before="120" w:after="12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905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L’Italia è il 9°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Pr="004905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aese al mondo per export con 476 miliardi di euro, ma occupa solo il 21° posto nella classifica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della Banca Mondiale sul</w:t>
      </w:r>
      <w:r w:rsidRPr="004905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Logistic Performance Index (</w:t>
      </w:r>
      <w:r w:rsidRPr="008165CF">
        <w:rPr>
          <w:rFonts w:ascii="Times New Roman" w:hAnsi="Times New Roman"/>
          <w:b/>
          <w:color w:val="0D0D0D" w:themeColor="text1" w:themeTint="F2"/>
          <w:sz w:val="24"/>
          <w:szCs w:val="24"/>
        </w:rPr>
        <w:t>tab. 1</w:t>
      </w:r>
      <w:r w:rsidRPr="004905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). </w:t>
      </w:r>
      <w:r w:rsidRPr="00414FE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«L’export ha rappresentato la ciambella di salvataggio per le ambizioni di sviluppo e di futuro di molte imprese, oltre che del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P</w:t>
      </w:r>
      <w:r w:rsidRPr="00414FE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aese negli anni più duri della crisi. Per continuare a essere leva di sviluppo – dice Maurizio Gardini presidente Confcooperative – occorre colmare il gap che ci separa dai principali competitor. Il ritardo infrastrutturale pesa per 60 miliardi di mancato export. Il made in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I</w:t>
      </w:r>
      <w:r w:rsidRPr="00414FE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taly dall’agroalimentare alla moda, dal tessile all’aerospazio è un brand che identifica l’Italian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s</w:t>
      </w:r>
      <w:r w:rsidRPr="00414FED">
        <w:rPr>
          <w:rFonts w:ascii="Times New Roman" w:hAnsi="Times New Roman"/>
          <w:b/>
          <w:color w:val="0D0D0D" w:themeColor="text1" w:themeTint="F2"/>
          <w:sz w:val="24"/>
          <w:szCs w:val="24"/>
        </w:rPr>
        <w:t>tyle con l’eccellenza, ricercata e apprezzata in tutto il mondo tanto che l’Italian sounding, solo nel food, è di oltre 90 miliardi di euro».</w:t>
      </w:r>
    </w:p>
    <w:p w:rsidR="00C73247" w:rsidRPr="004905AC" w:rsidRDefault="00C73247" w:rsidP="00C73247">
      <w:pPr>
        <w:spacing w:before="120" w:after="12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905AC">
        <w:rPr>
          <w:rFonts w:ascii="Times New Roman" w:hAnsi="Times New Roman"/>
          <w:color w:val="0D0D0D" w:themeColor="text1" w:themeTint="F2"/>
          <w:sz w:val="24"/>
          <w:szCs w:val="24"/>
        </w:rPr>
        <w:t>Al vertice della classifica del LPI si col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locano la Germania, seguita da P</w:t>
      </w:r>
      <w:r w:rsidRPr="004905AC">
        <w:rPr>
          <w:rFonts w:ascii="Times New Roman" w:hAnsi="Times New Roman"/>
          <w:color w:val="0D0D0D" w:themeColor="text1" w:themeTint="F2"/>
          <w:sz w:val="24"/>
          <w:szCs w:val="24"/>
        </w:rPr>
        <w:t>aesi come l’Olanda, la Svezia, il Giappone e Singapore. La perfomance complessiva dell’Italia è, invece, vicina a quella di</w:t>
      </w:r>
      <w:r w:rsidRPr="004905AC">
        <w:rPr>
          <w:rFonts w:ascii="Times New Roman" w:hAnsi="Times New Roman"/>
          <w:sz w:val="24"/>
          <w:szCs w:val="24"/>
        </w:rPr>
        <w:t xml:space="preserve"> Australia (19° posto), Norvegia (20°), Nuova Zelanda (22°), e Corea del Sud (23°). </w:t>
      </w:r>
      <w:r>
        <w:rPr>
          <w:rFonts w:ascii="Times New Roman" w:hAnsi="Times New Roman"/>
          <w:sz w:val="24"/>
          <w:szCs w:val="24"/>
        </w:rPr>
        <w:t>Il ritardo infrastrutturale in I</w:t>
      </w:r>
      <w:r w:rsidRPr="004905AC">
        <w:rPr>
          <w:rFonts w:ascii="Times New Roman" w:hAnsi="Times New Roman"/>
          <w:sz w:val="24"/>
          <w:szCs w:val="24"/>
        </w:rPr>
        <w:t>talia tarp</w:t>
      </w:r>
      <w:r>
        <w:rPr>
          <w:rFonts w:ascii="Times New Roman" w:hAnsi="Times New Roman"/>
          <w:sz w:val="24"/>
          <w:szCs w:val="24"/>
        </w:rPr>
        <w:t>a</w:t>
      </w:r>
      <w:r w:rsidRPr="004905AC">
        <w:rPr>
          <w:rFonts w:ascii="Times New Roman" w:hAnsi="Times New Roman"/>
          <w:sz w:val="24"/>
          <w:szCs w:val="24"/>
        </w:rPr>
        <w:t xml:space="preserve"> le ali alle nostre esportazioni frenandole del 14%: una perdita secca di 60 miliardi l’anno per il nostro export</w:t>
      </w:r>
      <w:r>
        <w:rPr>
          <w:rFonts w:ascii="Times New Roman" w:hAnsi="Times New Roman"/>
          <w:sz w:val="24"/>
          <w:szCs w:val="24"/>
        </w:rPr>
        <w:t>.</w:t>
      </w:r>
      <w:r w:rsidRPr="004905AC">
        <w:rPr>
          <w:rFonts w:ascii="Times New Roman" w:hAnsi="Times New Roman"/>
          <w:sz w:val="24"/>
          <w:szCs w:val="24"/>
        </w:rPr>
        <w:t xml:space="preserve"> </w:t>
      </w:r>
    </w:p>
    <w:p w:rsidR="00C73247" w:rsidRPr="004905AC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905A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Tab.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1 - Primi 10 P</w:t>
      </w:r>
      <w:r w:rsidRPr="004905A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aesi esportatori e importatori nel commercio mondiale (2019) e performance della logistica a livello 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P</w:t>
      </w:r>
      <w:r w:rsidRPr="004905AC">
        <w:rPr>
          <w:rFonts w:ascii="Times New Roman" w:eastAsia="Times New Roman" w:hAnsi="Times New Roman"/>
          <w:b/>
          <w:sz w:val="20"/>
          <w:szCs w:val="20"/>
          <w:lang w:eastAsia="it-IT"/>
        </w:rPr>
        <w:t>aese in base al Logistics Performance Index (LPI, media dei punteggi 2012-2018) della Banca Mondiale (*)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tbl>
      <w:tblPr>
        <w:tblStyle w:val="Grigliamedia2-Colore1"/>
        <w:tblW w:w="5000" w:type="pct"/>
        <w:tblLook w:val="04A0" w:firstRow="1" w:lastRow="0" w:firstColumn="1" w:lastColumn="0" w:noHBand="0" w:noVBand="1"/>
      </w:tblPr>
      <w:tblGrid>
        <w:gridCol w:w="1222"/>
        <w:gridCol w:w="3267"/>
        <w:gridCol w:w="2925"/>
        <w:gridCol w:w="2440"/>
      </w:tblGrid>
      <w:tr w:rsidR="00C73247" w:rsidRPr="009C6F37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lastRenderedPageBreak/>
              <w:t>Graduatoria.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Paesi esportatori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Paesi importatori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Logistica (LPI)</w:t>
            </w:r>
          </w:p>
        </w:tc>
      </w:tr>
      <w:tr w:rsidR="00C73247" w:rsidRPr="009C6F37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1°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Cina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Stati Uniti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Germania</w:t>
            </w:r>
          </w:p>
        </w:tc>
      </w:tr>
      <w:tr w:rsidR="00C73247" w:rsidRPr="009C6F37" w:rsidTr="007539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2°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Stati Uniti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Cina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Paesi Bassi</w:t>
            </w:r>
          </w:p>
        </w:tc>
      </w:tr>
      <w:tr w:rsidR="00C73247" w:rsidRPr="009C6F37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3°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Germania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Germania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Svezia</w:t>
            </w:r>
          </w:p>
        </w:tc>
      </w:tr>
      <w:tr w:rsidR="00C73247" w:rsidRPr="009C6F37" w:rsidTr="007539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4°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Giappone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Giappone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Belgio</w:t>
            </w:r>
          </w:p>
        </w:tc>
      </w:tr>
      <w:tr w:rsidR="00C73247" w:rsidRPr="009C6F37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5°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Francia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Regno Unito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Singapore</w:t>
            </w:r>
          </w:p>
        </w:tc>
      </w:tr>
      <w:tr w:rsidR="00C73247" w:rsidRPr="009C6F37" w:rsidTr="007539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6°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Corea del Sud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Francia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Regno Unito</w:t>
            </w:r>
          </w:p>
        </w:tc>
      </w:tr>
      <w:tr w:rsidR="00C73247" w:rsidRPr="009C6F37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7°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Paesi Bassi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Paesi Bassi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Giappone</w:t>
            </w:r>
          </w:p>
        </w:tc>
      </w:tr>
      <w:tr w:rsidR="00C73247" w:rsidRPr="009C6F37" w:rsidTr="007539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8°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Hong Kong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Hong Kong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Austria</w:t>
            </w:r>
          </w:p>
        </w:tc>
      </w:tr>
      <w:tr w:rsidR="00C73247" w:rsidRPr="009C6F37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9°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Italia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Corea del Sud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Hong Kong</w:t>
            </w:r>
          </w:p>
        </w:tc>
      </w:tr>
      <w:tr w:rsidR="00C73247" w:rsidRPr="009C6F37" w:rsidTr="007539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 w:rsidRPr="009C6F37">
              <w:rPr>
                <w:rFonts w:ascii="Times New Roman" w:hAnsi="Times New Roman"/>
                <w:b w:val="0"/>
              </w:rPr>
              <w:t>10°</w:t>
            </w: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Regno Unito</w:t>
            </w: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India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Stati Uniti</w:t>
            </w:r>
          </w:p>
        </w:tc>
      </w:tr>
      <w:tr w:rsidR="00C73247" w:rsidRPr="009C6F37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noWrap/>
            <w:vAlign w:val="center"/>
            <w:hideMark/>
          </w:tcPr>
          <w:p w:rsidR="00C73247" w:rsidRPr="009C6F37" w:rsidRDefault="00C73247" w:rsidP="00753915">
            <w:pPr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65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84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Italia (13°)</w:t>
            </w:r>
          </w:p>
        </w:tc>
        <w:tc>
          <w:tcPr>
            <w:tcW w:w="1238" w:type="pct"/>
            <w:noWrap/>
            <w:hideMark/>
          </w:tcPr>
          <w:p w:rsidR="00C73247" w:rsidRPr="009C6F37" w:rsidRDefault="00C73247" w:rsidP="007539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6F37">
              <w:rPr>
                <w:rFonts w:ascii="Times New Roman" w:hAnsi="Times New Roman"/>
              </w:rPr>
              <w:t>Italia (21°)</w:t>
            </w:r>
          </w:p>
        </w:tc>
      </w:tr>
    </w:tbl>
    <w:p w:rsidR="00C73247" w:rsidRPr="009C6F37" w:rsidRDefault="00C73247" w:rsidP="00C73247">
      <w:p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F37">
        <w:rPr>
          <w:rFonts w:ascii="Times New Roman" w:hAnsi="Times New Roman"/>
          <w:sz w:val="20"/>
          <w:szCs w:val="20"/>
        </w:rPr>
        <w:t>(*):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F37">
        <w:rPr>
          <w:rFonts w:ascii="Times New Roman" w:hAnsi="Times New Roman"/>
          <w:sz w:val="20"/>
          <w:szCs w:val="20"/>
        </w:rPr>
        <w:t>Fonte: Banca Mondiale, FMI</w:t>
      </w:r>
      <w:r>
        <w:rPr>
          <w:rFonts w:ascii="Times New Roman" w:hAnsi="Times New Roman"/>
          <w:sz w:val="20"/>
          <w:szCs w:val="20"/>
        </w:rPr>
        <w:t xml:space="preserve">. </w:t>
      </w:r>
      <w:r w:rsidRPr="009C6F37">
        <w:rPr>
          <w:rFonts w:ascii="Times New Roman" w:hAnsi="Times New Roman"/>
          <w:i/>
          <w:sz w:val="20"/>
          <w:szCs w:val="20"/>
        </w:rPr>
        <w:t xml:space="preserve">La Banca Mondiale ha ideato il Logistics Performance Index, una misura della qualità dei sistemi logistici declinato su aspetti come: Efficienza delle dogane; Qualità delle infrastrutture; Spedizioni internazionali; </w:t>
      </w:r>
      <w:r>
        <w:rPr>
          <w:rFonts w:ascii="Times New Roman" w:hAnsi="Times New Roman"/>
          <w:i/>
          <w:sz w:val="20"/>
          <w:szCs w:val="20"/>
        </w:rPr>
        <w:t>Qualità dei servizi,</w:t>
      </w:r>
      <w:r w:rsidRPr="009C6F37">
        <w:rPr>
          <w:rFonts w:ascii="Times New Roman" w:hAnsi="Times New Roman"/>
          <w:i/>
          <w:sz w:val="20"/>
          <w:szCs w:val="20"/>
        </w:rPr>
        <w:t xml:space="preserve"> competenze degli operatori; Tracciamento delle merci;</w:t>
      </w:r>
      <w:r>
        <w:rPr>
          <w:rFonts w:ascii="Times New Roman" w:hAnsi="Times New Roman"/>
          <w:i/>
          <w:sz w:val="20"/>
          <w:szCs w:val="20"/>
        </w:rPr>
        <w:t xml:space="preserve"> Tempestività delle spedizioni</w:t>
      </w:r>
    </w:p>
    <w:p w:rsidR="00C73247" w:rsidRPr="00270D48" w:rsidRDefault="00C73247" w:rsidP="00C73247">
      <w:pPr>
        <w:pStyle w:val="Titolo1"/>
        <w:spacing w:before="120" w:after="360" w:line="240" w:lineRule="auto"/>
        <w:jc w:val="both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bookmarkStart w:id="2" w:name="_Toc67662934"/>
      <w:r w:rsidRPr="00901EEB">
        <w:rPr>
          <w:rFonts w:ascii="Times New Roman" w:hAnsi="Times New Roman"/>
        </w:rPr>
        <w:t>Recovery, Italia ultima chiamata per tornare a crescere</w:t>
      </w:r>
      <w:bookmarkEnd w:id="2"/>
      <w:r w:rsidRPr="00901EEB">
        <w:rPr>
          <w:rFonts w:ascii="Times New Roman" w:hAnsi="Times New Roman"/>
        </w:rPr>
        <w:t>:</w:t>
      </w:r>
      <w:r>
        <w:t xml:space="preserve"> </w:t>
      </w:r>
      <w:r w:rsidRPr="00B776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Una spesa in infrastrutture da 192,4 miliardi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entro il 2030</w:t>
      </w:r>
      <w:r w:rsidRPr="00B776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dovrebbe generare un effetto da 666 miliardi e attivare occupazione per 4,2 milioni di </w:t>
      </w:r>
      <w:r w:rsidRPr="00F60481">
        <w:rPr>
          <w:rFonts w:ascii="Times New Roman" w:hAnsi="Times New Roman"/>
          <w:color w:val="0D0D0D" w:themeColor="text1" w:themeTint="F2"/>
          <w:sz w:val="24"/>
          <w:szCs w:val="24"/>
        </w:rPr>
        <w:t>persone (stima DEF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Tab 2</w:t>
      </w:r>
      <w:r w:rsidRPr="00F60481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F60481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. È come se potessimo disporre ogni anno di 61 miliardi aggiuntivi di prodotto e 383mila occupati in più. Un investimento che riguarda le infrastrutture di trasporto e, in proporzioni più contenute, interventi</w:t>
      </w:r>
      <w:r w:rsidRPr="00270D48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nel settore idrico e il programma di rinascita urbana. I risultati di questo “shock da domanda”, concentrato su spese destinate a opere di ingegneria civile</w:t>
      </w:r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,</w:t>
      </w:r>
      <w:r w:rsidRPr="00270D48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portano a quantificare in: 450 miliardi di euro gli effetti diretti (beni e servizi intermedi) e indiretti sulla produzione (attivando cioè il settore industriale, i servizi alle imprese, i trasporti, il commercio, ecc. nella fornitura di servizi e beni per la produzione); 216 miliardi gli effetti indotti sulla domanda (aumento di consumi di beni e servizi stimolati dalla maggiore disponibilità di reddito attraverso la creazione di nuova occupazione).</w:t>
      </w:r>
    </w:p>
    <w:p w:rsidR="00C73247" w:rsidRPr="00565E9D" w:rsidRDefault="00C73247" w:rsidP="00C732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E9D">
        <w:rPr>
          <w:rFonts w:ascii="Times New Roman" w:hAnsi="Times New Roman"/>
          <w:b/>
          <w:sz w:val="20"/>
          <w:szCs w:val="20"/>
        </w:rPr>
        <w:t xml:space="preserve">Tab. </w:t>
      </w:r>
      <w:r>
        <w:rPr>
          <w:rFonts w:ascii="Times New Roman" w:hAnsi="Times New Roman"/>
          <w:b/>
          <w:sz w:val="20"/>
          <w:szCs w:val="20"/>
        </w:rPr>
        <w:t>2</w:t>
      </w:r>
      <w:r w:rsidRPr="00565E9D">
        <w:rPr>
          <w:rFonts w:ascii="Times New Roman" w:hAnsi="Times New Roman"/>
          <w:b/>
          <w:sz w:val="20"/>
          <w:szCs w:val="20"/>
        </w:rPr>
        <w:t xml:space="preserve"> - Gli effetti su produzione e occupazione generati dalla spesa per infrastrutture (mobilità, settore idrico, rinascita urbana) nel periodo 2020-2030 (v.a. in mld di euro e in mgl)</w:t>
      </w:r>
    </w:p>
    <w:tbl>
      <w:tblPr>
        <w:tblStyle w:val="Grigliamedia2-Colore1"/>
        <w:tblW w:w="5000" w:type="pct"/>
        <w:tblLook w:val="04A0" w:firstRow="1" w:lastRow="0" w:firstColumn="1" w:lastColumn="0" w:noHBand="0" w:noVBand="1"/>
      </w:tblPr>
      <w:tblGrid>
        <w:gridCol w:w="7767"/>
        <w:gridCol w:w="2087"/>
      </w:tblGrid>
      <w:tr w:rsidR="00C73247" w:rsidRPr="00565E9D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1" w:type="pct"/>
            <w:noWrap/>
            <w:vAlign w:val="center"/>
          </w:tcPr>
          <w:p w:rsidR="00C73247" w:rsidRPr="00565E9D" w:rsidRDefault="00C73247" w:rsidP="00753915">
            <w:pPr>
              <w:rPr>
                <w:rFonts w:ascii="Times New Roman" w:hAnsi="Times New Roman"/>
              </w:rPr>
            </w:pPr>
            <w:r w:rsidRPr="00565E9D">
              <w:rPr>
                <w:rFonts w:ascii="Times New Roman" w:hAnsi="Times New Roman"/>
              </w:rPr>
              <w:t>Risorse e impatti</w:t>
            </w:r>
          </w:p>
        </w:tc>
        <w:tc>
          <w:tcPr>
            <w:tcW w:w="1059" w:type="pct"/>
            <w:noWrap/>
            <w:vAlign w:val="center"/>
          </w:tcPr>
          <w:p w:rsidR="00C73247" w:rsidRPr="00565E9D" w:rsidRDefault="00C73247" w:rsidP="00753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65E9D">
              <w:rPr>
                <w:rFonts w:ascii="Times New Roman" w:hAnsi="Times New Roman"/>
                <w:b w:val="0"/>
              </w:rPr>
              <w:t xml:space="preserve">v.a. </w:t>
            </w:r>
          </w:p>
        </w:tc>
      </w:tr>
      <w:tr w:rsidR="00C73247" w:rsidRPr="00565E9D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pct"/>
            <w:noWrap/>
            <w:vAlign w:val="center"/>
            <w:hideMark/>
          </w:tcPr>
          <w:p w:rsidR="00C73247" w:rsidRPr="00565E9D" w:rsidRDefault="00C73247" w:rsidP="00753915">
            <w:pPr>
              <w:rPr>
                <w:rFonts w:ascii="Times New Roman" w:hAnsi="Times New Roman"/>
                <w:b w:val="0"/>
              </w:rPr>
            </w:pPr>
            <w:r w:rsidRPr="00565E9D">
              <w:rPr>
                <w:rFonts w:ascii="Times New Roman" w:hAnsi="Times New Roman"/>
                <w:b w:val="0"/>
              </w:rPr>
              <w:t>Investimenti in infrastrutture (mld €)</w:t>
            </w:r>
          </w:p>
        </w:tc>
        <w:tc>
          <w:tcPr>
            <w:tcW w:w="1059" w:type="pct"/>
            <w:noWrap/>
            <w:vAlign w:val="center"/>
            <w:hideMark/>
          </w:tcPr>
          <w:p w:rsidR="00C73247" w:rsidRPr="00565E9D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65E9D">
              <w:rPr>
                <w:rFonts w:ascii="Times New Roman" w:hAnsi="Times New Roman"/>
              </w:rPr>
              <w:t>192,4</w:t>
            </w:r>
          </w:p>
        </w:tc>
      </w:tr>
      <w:tr w:rsidR="00C73247" w:rsidRPr="00565E9D" w:rsidTr="007539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pct"/>
            <w:noWrap/>
            <w:vAlign w:val="center"/>
            <w:hideMark/>
          </w:tcPr>
          <w:p w:rsidR="00C73247" w:rsidRPr="00565E9D" w:rsidRDefault="00C73247" w:rsidP="00753915">
            <w:pPr>
              <w:rPr>
                <w:rFonts w:ascii="Times New Roman" w:hAnsi="Times New Roman"/>
                <w:b w:val="0"/>
              </w:rPr>
            </w:pPr>
            <w:r w:rsidRPr="00565E9D">
              <w:rPr>
                <w:rFonts w:ascii="Times New Roman" w:hAnsi="Times New Roman"/>
                <w:b w:val="0"/>
              </w:rPr>
              <w:t xml:space="preserve">Effetto </w:t>
            </w:r>
            <w:r>
              <w:rPr>
                <w:rFonts w:ascii="Times New Roman" w:hAnsi="Times New Roman"/>
                <w:b w:val="0"/>
              </w:rPr>
              <w:t>“</w:t>
            </w:r>
            <w:r w:rsidRPr="00565E9D">
              <w:rPr>
                <w:rFonts w:ascii="Times New Roman" w:hAnsi="Times New Roman"/>
                <w:b w:val="0"/>
              </w:rPr>
              <w:t>leva</w:t>
            </w:r>
            <w:r>
              <w:rPr>
                <w:rFonts w:ascii="Times New Roman" w:hAnsi="Times New Roman"/>
                <w:b w:val="0"/>
              </w:rPr>
              <w:t>”</w:t>
            </w:r>
            <w:r w:rsidRPr="00565E9D">
              <w:rPr>
                <w:rFonts w:ascii="Times New Roman" w:hAnsi="Times New Roman"/>
                <w:b w:val="0"/>
              </w:rPr>
              <w:t xml:space="preserve"> (produzione diretta e indiretta, mld €)</w:t>
            </w:r>
          </w:p>
        </w:tc>
        <w:tc>
          <w:tcPr>
            <w:tcW w:w="1059" w:type="pct"/>
            <w:noWrap/>
            <w:vAlign w:val="center"/>
            <w:hideMark/>
          </w:tcPr>
          <w:p w:rsidR="00C73247" w:rsidRPr="00565E9D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E9D">
              <w:rPr>
                <w:rFonts w:ascii="Times New Roman" w:hAnsi="Times New Roman"/>
              </w:rPr>
              <w:t>449,9</w:t>
            </w:r>
          </w:p>
        </w:tc>
      </w:tr>
      <w:tr w:rsidR="00C73247" w:rsidRPr="00565E9D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pct"/>
            <w:noWrap/>
            <w:vAlign w:val="center"/>
            <w:hideMark/>
          </w:tcPr>
          <w:p w:rsidR="00C73247" w:rsidRPr="00565E9D" w:rsidRDefault="00C73247" w:rsidP="00753915">
            <w:pPr>
              <w:rPr>
                <w:rFonts w:ascii="Times New Roman" w:hAnsi="Times New Roman"/>
                <w:b w:val="0"/>
              </w:rPr>
            </w:pPr>
            <w:r w:rsidRPr="00565E9D">
              <w:rPr>
                <w:rFonts w:ascii="Times New Roman" w:hAnsi="Times New Roman"/>
                <w:b w:val="0"/>
              </w:rPr>
              <w:t xml:space="preserve">Effetto </w:t>
            </w:r>
            <w:r>
              <w:rPr>
                <w:rFonts w:ascii="Times New Roman" w:hAnsi="Times New Roman"/>
                <w:b w:val="0"/>
              </w:rPr>
              <w:t>“</w:t>
            </w:r>
            <w:r w:rsidRPr="00565E9D">
              <w:rPr>
                <w:rFonts w:ascii="Times New Roman" w:hAnsi="Times New Roman"/>
                <w:b w:val="0"/>
              </w:rPr>
              <w:t>domanda</w:t>
            </w:r>
            <w:r>
              <w:rPr>
                <w:rFonts w:ascii="Times New Roman" w:hAnsi="Times New Roman"/>
                <w:b w:val="0"/>
              </w:rPr>
              <w:t>”</w:t>
            </w:r>
            <w:r w:rsidRPr="00565E9D">
              <w:rPr>
                <w:rFonts w:ascii="Times New Roman" w:hAnsi="Times New Roman"/>
                <w:b w:val="0"/>
              </w:rPr>
              <w:t xml:space="preserve"> (produzione indotta, mld €)</w:t>
            </w:r>
          </w:p>
        </w:tc>
        <w:tc>
          <w:tcPr>
            <w:tcW w:w="1059" w:type="pct"/>
            <w:noWrap/>
            <w:vAlign w:val="center"/>
            <w:hideMark/>
          </w:tcPr>
          <w:p w:rsidR="00C73247" w:rsidRPr="00565E9D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E9D">
              <w:rPr>
                <w:rFonts w:ascii="Times New Roman" w:hAnsi="Times New Roman"/>
              </w:rPr>
              <w:t>216,3</w:t>
            </w:r>
          </w:p>
        </w:tc>
      </w:tr>
      <w:tr w:rsidR="00C73247" w:rsidRPr="00565E9D" w:rsidTr="007539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pct"/>
            <w:noWrap/>
            <w:vAlign w:val="center"/>
            <w:hideMark/>
          </w:tcPr>
          <w:p w:rsidR="00C73247" w:rsidRPr="00565E9D" w:rsidRDefault="00C73247" w:rsidP="00753915">
            <w:pPr>
              <w:rPr>
                <w:rFonts w:ascii="Times New Roman" w:hAnsi="Times New Roman"/>
              </w:rPr>
            </w:pPr>
            <w:r w:rsidRPr="00565E9D">
              <w:rPr>
                <w:rFonts w:ascii="Times New Roman" w:hAnsi="Times New Roman"/>
              </w:rPr>
              <w:t>Effetto totale (produzione attivata, diretta, indiretta e indotta, mld €)</w:t>
            </w:r>
          </w:p>
        </w:tc>
        <w:tc>
          <w:tcPr>
            <w:tcW w:w="1059" w:type="pct"/>
            <w:noWrap/>
            <w:vAlign w:val="center"/>
            <w:hideMark/>
          </w:tcPr>
          <w:p w:rsidR="00C73247" w:rsidRPr="00565E9D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65E9D">
              <w:rPr>
                <w:rFonts w:ascii="Times New Roman" w:hAnsi="Times New Roman"/>
                <w:b/>
              </w:rPr>
              <w:t>666,2</w:t>
            </w:r>
          </w:p>
        </w:tc>
      </w:tr>
      <w:tr w:rsidR="00C73247" w:rsidRPr="00565E9D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pct"/>
            <w:noWrap/>
            <w:vAlign w:val="center"/>
            <w:hideMark/>
          </w:tcPr>
          <w:p w:rsidR="00C73247" w:rsidRPr="00565E9D" w:rsidRDefault="00C73247" w:rsidP="00753915">
            <w:pPr>
              <w:rPr>
                <w:rFonts w:ascii="Times New Roman" w:hAnsi="Times New Roman"/>
              </w:rPr>
            </w:pPr>
            <w:r w:rsidRPr="00565E9D">
              <w:rPr>
                <w:rFonts w:ascii="Times New Roman" w:hAnsi="Times New Roman"/>
              </w:rPr>
              <w:t>Occupazione attivata (unità di lavoro a tempo pieno, mln)</w:t>
            </w:r>
          </w:p>
        </w:tc>
        <w:tc>
          <w:tcPr>
            <w:tcW w:w="1059" w:type="pct"/>
            <w:noWrap/>
            <w:vAlign w:val="center"/>
            <w:hideMark/>
          </w:tcPr>
          <w:p w:rsidR="00C73247" w:rsidRPr="00565E9D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65E9D">
              <w:rPr>
                <w:rFonts w:ascii="Times New Roman" w:hAnsi="Times New Roman"/>
                <w:b/>
              </w:rPr>
              <w:t>4,2</w:t>
            </w:r>
          </w:p>
        </w:tc>
      </w:tr>
    </w:tbl>
    <w:p w:rsidR="00C73247" w:rsidRPr="00D11CEA" w:rsidRDefault="00C73247" w:rsidP="00C732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1CEA">
        <w:rPr>
          <w:rFonts w:ascii="Times New Roman" w:hAnsi="Times New Roman"/>
          <w:b/>
          <w:sz w:val="20"/>
          <w:szCs w:val="20"/>
        </w:rPr>
        <w:t xml:space="preserve">Fonte: elaborazioni Censis su dati DEF  – Allegato </w:t>
      </w:r>
      <w:r w:rsidRPr="00D11CEA">
        <w:rPr>
          <w:rFonts w:ascii="Times New Roman" w:hAnsi="Times New Roman"/>
          <w:b/>
          <w:i/>
          <w:iCs/>
          <w:sz w:val="20"/>
          <w:szCs w:val="20"/>
        </w:rPr>
        <w:t>#italiaveloce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</w:pPr>
    </w:p>
    <w:p w:rsidR="00C73247" w:rsidRPr="005776A6" w:rsidRDefault="00C73247" w:rsidP="00C73247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</w:pPr>
      <w:r w:rsidRPr="005776A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lastRenderedPageBreak/>
        <w:t xml:space="preserve">L’ultima versione pubblica del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PNRR</w:t>
      </w:r>
      <w:r w:rsidRPr="005776A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 (al 12 gennaio 2021) riporta a 223,91 miliardi di euro l’importo complessivo delle risorse, comprendente risorse del Fondo Sviluppo e Coesione (FSC) 2021-2027, l’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“</w:t>
      </w:r>
      <w:r w:rsidRPr="005776A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effetto leva” di investimenti privati attivati dal Piano, un margine di sicurezza contro il rischio di non vedersi approvati tutti i progetti presentati da parte della Commissione Europea, l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a quota del Programma React EU.</w:t>
      </w:r>
    </w:p>
    <w:p w:rsidR="00C73247" w:rsidRPr="005776A6" w:rsidRDefault="00C73247" w:rsidP="00C7324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76F4">
        <w:rPr>
          <w:rFonts w:ascii="Times New Roman" w:hAnsi="Times New Roman"/>
          <w:b/>
          <w:sz w:val="24"/>
          <w:szCs w:val="24"/>
        </w:rPr>
        <w:t>Considerando che il 70% delle risorse del Piano verrà destinato a investimenti pubblici, per un valore pari a 156,7 miliardi di euro per il periodo 2021-2026</w:t>
      </w:r>
      <w:r w:rsidRPr="000764E6">
        <w:rPr>
          <w:rFonts w:ascii="Times New Roman" w:hAnsi="Times New Roman"/>
          <w:sz w:val="24"/>
          <w:szCs w:val="24"/>
        </w:rPr>
        <w:t xml:space="preserve">, e provando ad applicare le ipotesi di fondo dell’analisi di impatto svolta dal MEF sull’ultimo Documento di economia e Finanza (riportata </w:t>
      </w:r>
      <w:r>
        <w:rPr>
          <w:rFonts w:ascii="Times New Roman" w:hAnsi="Times New Roman"/>
          <w:sz w:val="24"/>
          <w:szCs w:val="24"/>
        </w:rPr>
        <w:t>nella</w:t>
      </w:r>
      <w:r w:rsidRPr="000764E6">
        <w:rPr>
          <w:rFonts w:ascii="Times New Roman" w:hAnsi="Times New Roman"/>
          <w:sz w:val="24"/>
          <w:szCs w:val="24"/>
        </w:rPr>
        <w:t xml:space="preserve"> </w:t>
      </w:r>
      <w:r w:rsidRPr="008165CF">
        <w:rPr>
          <w:rFonts w:ascii="Times New Roman" w:hAnsi="Times New Roman"/>
          <w:b/>
          <w:sz w:val="24"/>
          <w:szCs w:val="24"/>
        </w:rPr>
        <w:t>tab. 2</w:t>
      </w:r>
      <w:r w:rsidRPr="000764E6">
        <w:rPr>
          <w:rFonts w:ascii="Times New Roman" w:hAnsi="Times New Roman"/>
          <w:sz w:val="24"/>
          <w:szCs w:val="24"/>
        </w:rPr>
        <w:t xml:space="preserve">), lo “shock” da investimenti potrebbe portare a un effetto “leva” di quasi 200 miliardi in sei anni, ai quali aggiungere l’effetto “domanda” di 96,1 miliardi. In totale </w:t>
      </w:r>
      <w:r w:rsidRPr="00B776F4">
        <w:rPr>
          <w:rFonts w:ascii="Times New Roman" w:hAnsi="Times New Roman"/>
          <w:b/>
          <w:sz w:val="24"/>
          <w:szCs w:val="24"/>
        </w:rPr>
        <w:t>nel periodo si otterrebbe un incremento del valore della produzione complessiva</w:t>
      </w:r>
      <w:r w:rsidRPr="000764E6">
        <w:rPr>
          <w:rFonts w:ascii="Times New Roman" w:hAnsi="Times New Roman"/>
          <w:sz w:val="24"/>
          <w:szCs w:val="24"/>
        </w:rPr>
        <w:t xml:space="preserve"> (valore aggiunto e consumi intermedi) pari a </w:t>
      </w:r>
      <w:r w:rsidRPr="00B776F4">
        <w:rPr>
          <w:rFonts w:ascii="Times New Roman" w:hAnsi="Times New Roman"/>
          <w:b/>
          <w:sz w:val="24"/>
          <w:szCs w:val="24"/>
        </w:rPr>
        <w:t>296 miliardi di euro</w:t>
      </w:r>
      <w:r w:rsidRPr="000764E6">
        <w:rPr>
          <w:rFonts w:ascii="Times New Roman" w:hAnsi="Times New Roman"/>
          <w:sz w:val="24"/>
          <w:szCs w:val="24"/>
        </w:rPr>
        <w:t xml:space="preserve"> e </w:t>
      </w:r>
      <w:r w:rsidRPr="00B776F4">
        <w:rPr>
          <w:rFonts w:ascii="Times New Roman" w:hAnsi="Times New Roman"/>
          <w:b/>
          <w:sz w:val="24"/>
          <w:szCs w:val="24"/>
        </w:rPr>
        <w:t>1,9 milioni di occupati attivati</w:t>
      </w:r>
      <w:r w:rsidRPr="000764E6">
        <w:rPr>
          <w:rFonts w:ascii="Times New Roman" w:hAnsi="Times New Roman"/>
          <w:sz w:val="24"/>
          <w:szCs w:val="24"/>
        </w:rPr>
        <w:t xml:space="preserve"> (unità di lavoro a tempo pieno).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Sud, d</w:t>
      </w: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igitale e green possono spingere il Pil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de</w:t>
      </w: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ll’11,6%. Investire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di più </w:t>
      </w:r>
      <w:r w:rsidR="0026551D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a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l Mezzogiorno</w:t>
      </w: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spingerebbe dell’</w:t>
      </w: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1%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il</w:t>
      </w: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 Pil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da 7,3 a 8,2%</w:t>
      </w:r>
      <w:r w:rsidRPr="00901EE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:</w:t>
      </w: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Considerato il crescente divario fra Centro-Nord e Mezzogiorno cui si è assistito in questi anni, l’opportunità di indirizzare risorse e interventi del Piano alla ricucitura dei destini economici delle due aree del Paese appare quanto mai necessaria.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Svimez ha formulato due scenari di ripartizione delle risorse del PNRR rispetto al Mezzogiorno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uno scenario “base”, con un’ipotesi di destinazione degli investimenti pari al 24%, in continuità con quanto è accaduto nel periodo 2014-2019, e uno scenario “rafforzato”, rispetto al quale la quota di investimenti al Sud potrebbe raggiungere il 50%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73247" w:rsidRPr="005776A6" w:rsidRDefault="00C73247" w:rsidP="00C73247">
      <w:pPr>
        <w:spacing w:before="120" w:after="12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373D5">
        <w:rPr>
          <w:rFonts w:ascii="Times New Roman" w:hAnsi="Times New Roman"/>
          <w:b/>
          <w:color w:val="0D0D0D" w:themeColor="text1" w:themeTint="F2"/>
          <w:sz w:val="24"/>
          <w:szCs w:val="24"/>
        </w:rPr>
        <w:t>L’ipotesi di partenza è l’allocazione all’interno del PNRR di una spesa per investimenti pari a 150 miliardi di euro per il periodo 2021-2026.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Dalle analisi effettuate, lo scenario di base porterebbe a un incremento cumulato del Pil nei sei anni pari al 7,3% a livello nazionale e all’8,1% nel Mezzogiorno</w:t>
      </w:r>
      <w:r w:rsidRPr="004373D5">
        <w:rPr>
          <w:rFonts w:ascii="Times New Roman" w:hAnsi="Times New Roman"/>
          <w:b/>
          <w:color w:val="0D0D0D" w:themeColor="text1" w:themeTint="F2"/>
          <w:sz w:val="24"/>
          <w:szCs w:val="24"/>
        </w:rPr>
        <w:t>. Lo scenario “rafforzato” consentirebbe al Mezzogiorno un incremento di Pil a fine periodo dell’11,6%, in sostanza tre punti e mezzo di Pil in più di quelli previsti dallo scenario “base” (tab. 3).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>Da questa ripartizione delle risorse più favorevole al Mezzogiorno ne profitterebbe l’intero Paese con quasi un punto in più di prodotto interno lordo cumulato fra il 2021 e il 2026, grazie agli effetti indiretti sulla produzione del Nord e alla maggiore resa degli investimenti al Sud rispetto alla dotazione dello stock di capitale</w:t>
      </w:r>
      <w:r w:rsidRPr="005776A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73247" w:rsidRPr="005776A6" w:rsidRDefault="00C73247" w:rsidP="00C73247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Tab. </w:t>
      </w:r>
      <w:r w:rsidRPr="005776A6">
        <w:rPr>
          <w:rFonts w:ascii="Times New Roman" w:hAnsi="Times New Roman"/>
          <w:b/>
          <w:sz w:val="20"/>
          <w:szCs w:val="20"/>
        </w:rPr>
        <w:t>3 – Impatto su Pil e occupazione della quota Investimenti del PNRR, pari a 150 miliardi di euro. Periodo 2021-2026 (v.a. in mgl. e var.%)</w:t>
      </w:r>
    </w:p>
    <w:tbl>
      <w:tblPr>
        <w:tblStyle w:val="Grigliamedia2-Colore1"/>
        <w:tblW w:w="5000" w:type="pct"/>
        <w:tblLook w:val="04A0" w:firstRow="1" w:lastRow="0" w:firstColumn="1" w:lastColumn="0" w:noHBand="0" w:noVBand="1"/>
      </w:tblPr>
      <w:tblGrid>
        <w:gridCol w:w="4518"/>
        <w:gridCol w:w="2668"/>
        <w:gridCol w:w="2668"/>
      </w:tblGrid>
      <w:tr w:rsidR="00C73247" w:rsidRPr="005776A6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2" w:type="pct"/>
            <w:noWrap/>
            <w:vAlign w:val="center"/>
            <w:hideMark/>
          </w:tcPr>
          <w:p w:rsidR="00C73247" w:rsidRPr="005776A6" w:rsidRDefault="00C73247" w:rsidP="0075391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54" w:type="pct"/>
            <w:vAlign w:val="center"/>
            <w:hideMark/>
          </w:tcPr>
          <w:p w:rsidR="00C73247" w:rsidRPr="005776A6" w:rsidRDefault="00C73247" w:rsidP="00753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5776A6">
              <w:rPr>
                <w:rFonts w:ascii="Times New Roman" w:hAnsi="Times New Roman"/>
                <w:b w:val="0"/>
              </w:rPr>
              <w:t>Scenario di base (24% del totale degli investimenti al Mezzogiorno)</w:t>
            </w:r>
          </w:p>
        </w:tc>
        <w:tc>
          <w:tcPr>
            <w:tcW w:w="1354" w:type="pct"/>
            <w:vAlign w:val="center"/>
            <w:hideMark/>
          </w:tcPr>
          <w:p w:rsidR="00C73247" w:rsidRPr="005776A6" w:rsidRDefault="00C73247" w:rsidP="00753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5776A6">
              <w:rPr>
                <w:rFonts w:ascii="Times New Roman" w:hAnsi="Times New Roman"/>
                <w:b w:val="0"/>
              </w:rPr>
              <w:t>Scenario rafforzato (50% del totale degli investimenti al Mezzogiorno)</w:t>
            </w:r>
          </w:p>
        </w:tc>
      </w:tr>
      <w:tr w:rsidR="00C73247" w:rsidRPr="005776A6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:rsidR="00C73247" w:rsidRPr="005776A6" w:rsidRDefault="00C73247" w:rsidP="00753915">
            <w:pPr>
              <w:rPr>
                <w:rFonts w:ascii="Times New Roman" w:hAnsi="Times New Roman"/>
                <w:b w:val="0"/>
              </w:rPr>
            </w:pPr>
            <w:r w:rsidRPr="005776A6">
              <w:rPr>
                <w:rFonts w:ascii="Times New Roman" w:hAnsi="Times New Roman"/>
                <w:b w:val="0"/>
              </w:rPr>
              <w:t>Aree territoriali</w:t>
            </w:r>
          </w:p>
        </w:tc>
        <w:tc>
          <w:tcPr>
            <w:tcW w:w="2708" w:type="pct"/>
            <w:gridSpan w:val="2"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776A6">
              <w:rPr>
                <w:rFonts w:ascii="Times New Roman" w:hAnsi="Times New Roman"/>
              </w:rPr>
              <w:t>Pil cumulato 2021-2026 (var. %)</w:t>
            </w:r>
          </w:p>
        </w:tc>
      </w:tr>
      <w:tr w:rsidR="00C73247" w:rsidRPr="005776A6" w:rsidTr="007539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:rsidR="00C73247" w:rsidRPr="005776A6" w:rsidRDefault="00C73247" w:rsidP="00753915">
            <w:pPr>
              <w:rPr>
                <w:rFonts w:ascii="Times New Roman" w:hAnsi="Times New Roman"/>
                <w:b w:val="0"/>
              </w:rPr>
            </w:pPr>
            <w:r w:rsidRPr="005776A6">
              <w:rPr>
                <w:rFonts w:ascii="Times New Roman" w:hAnsi="Times New Roman"/>
                <w:b w:val="0"/>
              </w:rPr>
              <w:t>Centro Nord</w:t>
            </w:r>
          </w:p>
        </w:tc>
        <w:tc>
          <w:tcPr>
            <w:tcW w:w="1354" w:type="pct"/>
            <w:noWrap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776A6">
              <w:rPr>
                <w:rFonts w:ascii="Times New Roman" w:hAnsi="Times New Roman"/>
              </w:rPr>
              <w:t>7,2</w:t>
            </w:r>
          </w:p>
        </w:tc>
        <w:tc>
          <w:tcPr>
            <w:tcW w:w="1354" w:type="pct"/>
            <w:noWrap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776A6">
              <w:rPr>
                <w:rFonts w:ascii="Times New Roman" w:hAnsi="Times New Roman"/>
              </w:rPr>
              <w:t>7,0</w:t>
            </w:r>
          </w:p>
        </w:tc>
      </w:tr>
      <w:tr w:rsidR="00C73247" w:rsidRPr="005776A6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:rsidR="00C73247" w:rsidRPr="005776A6" w:rsidRDefault="00C73247" w:rsidP="00753915">
            <w:pPr>
              <w:rPr>
                <w:rFonts w:ascii="Times New Roman" w:hAnsi="Times New Roman"/>
                <w:b w:val="0"/>
              </w:rPr>
            </w:pPr>
            <w:r w:rsidRPr="005776A6">
              <w:rPr>
                <w:rFonts w:ascii="Times New Roman" w:hAnsi="Times New Roman"/>
                <w:b w:val="0"/>
              </w:rPr>
              <w:t>Mezzogiorno</w:t>
            </w:r>
          </w:p>
        </w:tc>
        <w:tc>
          <w:tcPr>
            <w:tcW w:w="1354" w:type="pct"/>
            <w:noWrap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776A6">
              <w:rPr>
                <w:rFonts w:ascii="Times New Roman" w:hAnsi="Times New Roman"/>
              </w:rPr>
              <w:t>8,1</w:t>
            </w:r>
          </w:p>
        </w:tc>
        <w:tc>
          <w:tcPr>
            <w:tcW w:w="1354" w:type="pct"/>
            <w:noWrap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776A6">
              <w:rPr>
                <w:rFonts w:ascii="Times New Roman" w:hAnsi="Times New Roman"/>
              </w:rPr>
              <w:t>11,6</w:t>
            </w:r>
          </w:p>
        </w:tc>
      </w:tr>
      <w:tr w:rsidR="00C73247" w:rsidRPr="005776A6" w:rsidTr="007539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:rsidR="00C73247" w:rsidRPr="005776A6" w:rsidRDefault="00C73247" w:rsidP="00753915">
            <w:pPr>
              <w:rPr>
                <w:rFonts w:ascii="Times New Roman" w:hAnsi="Times New Roman"/>
              </w:rPr>
            </w:pPr>
            <w:r w:rsidRPr="005776A6">
              <w:rPr>
                <w:rFonts w:ascii="Times New Roman" w:hAnsi="Times New Roman"/>
              </w:rPr>
              <w:t>Italia</w:t>
            </w:r>
          </w:p>
        </w:tc>
        <w:tc>
          <w:tcPr>
            <w:tcW w:w="1354" w:type="pct"/>
            <w:noWrap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776A6"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354" w:type="pct"/>
            <w:noWrap/>
            <w:vAlign w:val="center"/>
            <w:hideMark/>
          </w:tcPr>
          <w:p w:rsidR="00C73247" w:rsidRPr="005776A6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776A6">
              <w:rPr>
                <w:rFonts w:ascii="Times New Roman" w:hAnsi="Times New Roman"/>
                <w:b/>
              </w:rPr>
              <w:t>8,2</w:t>
            </w:r>
          </w:p>
        </w:tc>
      </w:tr>
    </w:tbl>
    <w:p w:rsidR="00C73247" w:rsidRPr="00D11CEA" w:rsidRDefault="00C73247" w:rsidP="00C732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1CEA">
        <w:rPr>
          <w:rFonts w:ascii="Times New Roman" w:hAnsi="Times New Roman"/>
          <w:b/>
          <w:sz w:val="20"/>
          <w:szCs w:val="20"/>
        </w:rPr>
        <w:t xml:space="preserve">Fonte: elaborazioni Censis su dati Svimez </w:t>
      </w:r>
      <w:r w:rsidRPr="00D11CEA">
        <w:rPr>
          <w:rFonts w:ascii="Times New Roman" w:hAnsi="Times New Roman"/>
          <w:b/>
          <w:color w:val="0D0D0D" w:themeColor="text1" w:themeTint="F2"/>
          <w:sz w:val="20"/>
          <w:szCs w:val="20"/>
        </w:rPr>
        <w:t>documento presentato alle Commissioni Bilancio e Politiche dell’Unione Europea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73247" w:rsidRPr="00270D48" w:rsidRDefault="00C73247" w:rsidP="00C73247">
      <w:pPr>
        <w:spacing w:before="120" w:after="12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Prendendo come riferimento l’occupazione al terzo trimestre 2020, la missione Digitalizzazione coinvolgerebbe oltre 4 milioni e 580mila occupati, pari a un quinto del totale, mentre all’interno 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della missione Transizione ecologica ricadrebbero 2 milioni e mezzo di occupati, l’11,2% sul totale (</w:t>
      </w:r>
      <w:r w:rsidRPr="008165CF">
        <w:rPr>
          <w:rFonts w:ascii="Times New Roman" w:hAnsi="Times New Roman"/>
          <w:b/>
          <w:color w:val="0D0D0D" w:themeColor="text1" w:themeTint="F2"/>
          <w:sz w:val="24"/>
          <w:szCs w:val="24"/>
        </w:rPr>
        <w:t>tab. 4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:rsidR="00C73247" w:rsidRPr="00F60481" w:rsidRDefault="00C73247" w:rsidP="00C73247">
      <w:pPr>
        <w:spacing w:before="120" w:after="120" w:line="240" w:lineRule="auto"/>
        <w:jc w:val="both"/>
        <w:rPr>
          <w:rFonts w:ascii="Times New Roman" w:hAnsi="Times New Roman"/>
          <w:b/>
          <w:color w:val="1D1B11" w:themeColor="background2" w:themeShade="1A"/>
          <w:sz w:val="20"/>
        </w:rPr>
      </w:pPr>
      <w:r w:rsidRPr="00F60481">
        <w:rPr>
          <w:rFonts w:ascii="Times New Roman" w:hAnsi="Times New Roman"/>
          <w:b/>
          <w:color w:val="1D1B11" w:themeColor="background2" w:themeShade="1A"/>
          <w:sz w:val="20"/>
        </w:rPr>
        <w:t xml:space="preserve">Tab. 4 – Occupati potenzialmente coinvolti nelle </w:t>
      </w:r>
      <w:r>
        <w:rPr>
          <w:rFonts w:ascii="Times New Roman" w:hAnsi="Times New Roman"/>
          <w:b/>
          <w:color w:val="1D1B11" w:themeColor="background2" w:themeShade="1A"/>
          <w:sz w:val="20"/>
        </w:rPr>
        <w:t>m</w:t>
      </w:r>
      <w:r w:rsidRPr="00F60481">
        <w:rPr>
          <w:rFonts w:ascii="Times New Roman" w:hAnsi="Times New Roman"/>
          <w:b/>
          <w:color w:val="1D1B11" w:themeColor="background2" w:themeShade="1A"/>
          <w:sz w:val="20"/>
        </w:rPr>
        <w:t>issioni Digitalizzazione e Transizione ecologica del PNRR (v.a. in mgl e val.%)</w:t>
      </w:r>
    </w:p>
    <w:tbl>
      <w:tblPr>
        <w:tblStyle w:val="Grigliamedia2-Colore1"/>
        <w:tblW w:w="5000" w:type="pct"/>
        <w:tblLook w:val="04A0" w:firstRow="1" w:lastRow="0" w:firstColumn="1" w:lastColumn="0" w:noHBand="0" w:noVBand="1"/>
      </w:tblPr>
      <w:tblGrid>
        <w:gridCol w:w="3691"/>
        <w:gridCol w:w="3061"/>
        <w:gridCol w:w="3102"/>
      </w:tblGrid>
      <w:tr w:rsidR="00C73247" w:rsidRPr="00F60481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3" w:type="pct"/>
            <w:noWrap/>
            <w:vAlign w:val="center"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</w:p>
        </w:tc>
        <w:tc>
          <w:tcPr>
            <w:tcW w:w="3127" w:type="pct"/>
            <w:gridSpan w:val="2"/>
            <w:noWrap/>
            <w:vAlign w:val="center"/>
          </w:tcPr>
          <w:p w:rsidR="00C73247" w:rsidRPr="00F60481" w:rsidRDefault="00C73247" w:rsidP="00753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Occupati III trimestre 2020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noWrap/>
            <w:vAlign w:val="center"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Missioni PNRR</w:t>
            </w:r>
          </w:p>
        </w:tc>
        <w:tc>
          <w:tcPr>
            <w:tcW w:w="1553" w:type="pct"/>
            <w:noWrap/>
            <w:vAlign w:val="center"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v.a. in mgl</w:t>
            </w:r>
          </w:p>
        </w:tc>
        <w:tc>
          <w:tcPr>
            <w:tcW w:w="1575" w:type="pct"/>
            <w:noWrap/>
            <w:vAlign w:val="center"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% sul totale occupati</w:t>
            </w:r>
          </w:p>
        </w:tc>
      </w:tr>
      <w:tr w:rsidR="00C73247" w:rsidRPr="00F60481" w:rsidTr="0075391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Digitalizzazione</w:t>
            </w:r>
          </w:p>
        </w:tc>
        <w:tc>
          <w:tcPr>
            <w:tcW w:w="1553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4.580</w:t>
            </w:r>
          </w:p>
        </w:tc>
        <w:tc>
          <w:tcPr>
            <w:tcW w:w="15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20,0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Transizione ecologica</w:t>
            </w:r>
          </w:p>
        </w:tc>
        <w:tc>
          <w:tcPr>
            <w:tcW w:w="1553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2.555</w:t>
            </w:r>
          </w:p>
        </w:tc>
        <w:tc>
          <w:tcPr>
            <w:tcW w:w="15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11,2</w:t>
            </w:r>
          </w:p>
        </w:tc>
      </w:tr>
      <w:tr w:rsidR="00C73247" w:rsidRPr="00F60481" w:rsidTr="0075391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Totale occupati coinvolti nelle missioni (v.a.)</w:t>
            </w:r>
          </w:p>
        </w:tc>
        <w:tc>
          <w:tcPr>
            <w:tcW w:w="1553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/>
                <w:color w:val="1D1B11" w:themeColor="background2" w:themeShade="1A"/>
                <w:sz w:val="18"/>
              </w:rPr>
              <w:t>7.135</w:t>
            </w:r>
          </w:p>
        </w:tc>
        <w:tc>
          <w:tcPr>
            <w:tcW w:w="15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/>
                <w:color w:val="1D1B11" w:themeColor="background2" w:themeShade="1A"/>
                <w:sz w:val="18"/>
              </w:rPr>
              <w:t>31,2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Totale occupati intera economia</w:t>
            </w:r>
          </w:p>
        </w:tc>
        <w:tc>
          <w:tcPr>
            <w:tcW w:w="1553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22.863</w:t>
            </w:r>
          </w:p>
        </w:tc>
        <w:tc>
          <w:tcPr>
            <w:tcW w:w="15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100,0</w:t>
            </w:r>
          </w:p>
        </w:tc>
      </w:tr>
    </w:tbl>
    <w:p w:rsidR="00C73247" w:rsidRPr="00D11CEA" w:rsidRDefault="00C73247" w:rsidP="00C73247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0"/>
        </w:rPr>
      </w:pPr>
      <w:r w:rsidRPr="00D11CEA">
        <w:rPr>
          <w:rFonts w:ascii="Times New Roman" w:hAnsi="Times New Roman"/>
          <w:b/>
          <w:color w:val="1D1B11" w:themeColor="background2" w:themeShade="1A"/>
          <w:sz w:val="20"/>
        </w:rPr>
        <w:t>Fonte: elaborazioni Censis su dati Istat</w:t>
      </w:r>
    </w:p>
    <w:p w:rsidR="00C73247" w:rsidRPr="00270D48" w:rsidRDefault="00C73247" w:rsidP="00C73247">
      <w:pPr>
        <w:spacing w:after="0" w:line="240" w:lineRule="auto"/>
        <w:rPr>
          <w:rFonts w:ascii="Times New Roman" w:hAnsi="Times New Roman"/>
        </w:rPr>
      </w:pPr>
    </w:p>
    <w:p w:rsidR="00C73247" w:rsidRPr="009C0BD8" w:rsidRDefault="00C73247" w:rsidP="00C7324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0B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La somma degli occupati nelle due missioni supererebbe i 7 milioni, pari al 31,2% sul totale degli occupati al terzo trimestre 2020. Se letti attraverso la prospettiva delle tre priorità trasversali del Piano – donne, giovani, Mezzogiorno – i dati in percentuale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segnalano la necessità di un maggiore impegno nei confronti della componente di genere</w:t>
      </w:r>
      <w:r w:rsidRPr="009C0B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(su 100 donne occupate 27 sono coinvolte nelle missioni, quattro punti in meno rispetto al dato medio nazionale),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mentre rispetto al gap generazionale e a quello territoriale, il contributo delle missioni potrebbe essere sostanzialmente positivo</w:t>
      </w:r>
      <w:r w:rsidRPr="009C0B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40 giovani fino a 34 anni coinvolti nelle missioni su 100 occupati della stessa classe d’età e 37 occupati coinvolti nelle missioni per ogni 100 occupati nel Mezzogiorno</w:t>
      </w:r>
      <w:r w:rsidRPr="009C0B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(tab. 5).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In parte compenserebbe le perdite occupazionali che hanno colpito queste tre componenti nel corso del 2020.</w:t>
      </w:r>
    </w:p>
    <w:p w:rsidR="00C73247" w:rsidRPr="00F60481" w:rsidRDefault="00C73247" w:rsidP="00C73247">
      <w:pPr>
        <w:spacing w:before="120" w:after="120" w:line="240" w:lineRule="auto"/>
        <w:jc w:val="both"/>
        <w:rPr>
          <w:rFonts w:ascii="Times New Roman" w:hAnsi="Times New Roman"/>
          <w:b/>
          <w:color w:val="1D1B11" w:themeColor="background2" w:themeShade="1A"/>
          <w:sz w:val="20"/>
        </w:rPr>
      </w:pPr>
      <w:r w:rsidRPr="00F60481">
        <w:rPr>
          <w:rFonts w:ascii="Times New Roman" w:hAnsi="Times New Roman"/>
          <w:b/>
          <w:color w:val="1D1B11" w:themeColor="background2" w:themeShade="1A"/>
          <w:sz w:val="20"/>
        </w:rPr>
        <w:t xml:space="preserve">Tab. 5 – Donne, giovani, Mezzogiorno: le tre priorità trasversali del PNRR e gli occupati coinvolti nelle </w:t>
      </w:r>
      <w:r>
        <w:rPr>
          <w:rFonts w:ascii="Times New Roman" w:hAnsi="Times New Roman"/>
          <w:b/>
          <w:color w:val="1D1B11" w:themeColor="background2" w:themeShade="1A"/>
          <w:sz w:val="20"/>
        </w:rPr>
        <w:t>m</w:t>
      </w:r>
      <w:r w:rsidRPr="00F60481">
        <w:rPr>
          <w:rFonts w:ascii="Times New Roman" w:hAnsi="Times New Roman"/>
          <w:b/>
          <w:color w:val="1D1B11" w:themeColor="background2" w:themeShade="1A"/>
          <w:sz w:val="20"/>
        </w:rPr>
        <w:t>issioni Digitalizzazione e Transizione ecologica (val.%)</w:t>
      </w:r>
    </w:p>
    <w:tbl>
      <w:tblPr>
        <w:tblStyle w:val="Grigliamedia2-Colore1"/>
        <w:tblW w:w="5000" w:type="pct"/>
        <w:tblLook w:val="04A0" w:firstRow="1" w:lastRow="0" w:firstColumn="1" w:lastColumn="0" w:noHBand="0" w:noVBand="1"/>
      </w:tblPr>
      <w:tblGrid>
        <w:gridCol w:w="5765"/>
        <w:gridCol w:w="4089"/>
      </w:tblGrid>
      <w:tr w:rsidR="00C73247" w:rsidRPr="00F60481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5" w:type="pct"/>
            <w:noWrap/>
            <w:vAlign w:val="center"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Profilo degli occupati coinvolti nelle missioni PNRR</w:t>
            </w:r>
          </w:p>
        </w:tc>
        <w:tc>
          <w:tcPr>
            <w:tcW w:w="2075" w:type="pct"/>
            <w:noWrap/>
            <w:vAlign w:val="center"/>
          </w:tcPr>
          <w:p w:rsidR="00C73247" w:rsidRPr="00F60481" w:rsidRDefault="00C73247" w:rsidP="00753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%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Uomini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34,1</w:t>
            </w:r>
          </w:p>
        </w:tc>
      </w:tr>
      <w:tr w:rsidR="00C73247" w:rsidRPr="00F60481" w:rsidTr="007539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i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i/>
                <w:color w:val="1D1B11" w:themeColor="background2" w:themeShade="1A"/>
                <w:sz w:val="18"/>
              </w:rPr>
              <w:t>Donne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i/>
                <w:color w:val="1D1B11" w:themeColor="background2" w:themeShade="1A"/>
                <w:sz w:val="18"/>
              </w:rPr>
              <w:t>27,2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i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i/>
                <w:color w:val="1D1B11" w:themeColor="background2" w:themeShade="1A"/>
                <w:sz w:val="18"/>
              </w:rPr>
              <w:t>15-34 anni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i/>
                <w:color w:val="1D1B11" w:themeColor="background2" w:themeShade="1A"/>
                <w:sz w:val="18"/>
              </w:rPr>
              <w:t>40,5</w:t>
            </w:r>
          </w:p>
        </w:tc>
      </w:tr>
      <w:tr w:rsidR="00C73247" w:rsidRPr="00F60481" w:rsidTr="007539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35-49 anni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30,7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50 anni e oltre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26,5</w:t>
            </w:r>
          </w:p>
        </w:tc>
      </w:tr>
      <w:tr w:rsidR="00C73247" w:rsidRPr="00F60481" w:rsidTr="007539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Nord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28,7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color w:val="1D1B11" w:themeColor="background2" w:themeShade="1A"/>
                <w:sz w:val="18"/>
              </w:rPr>
              <w:t>Centro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29,9</w:t>
            </w:r>
          </w:p>
        </w:tc>
      </w:tr>
      <w:tr w:rsidR="00C73247" w:rsidRPr="00F60481" w:rsidTr="007539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b w:val="0"/>
                <w:i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 w:val="0"/>
                <w:i/>
                <w:color w:val="1D1B11" w:themeColor="background2" w:themeShade="1A"/>
                <w:sz w:val="18"/>
              </w:rPr>
              <w:t>Mezzogiorno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i/>
                <w:color w:val="1D1B11" w:themeColor="background2" w:themeShade="1A"/>
                <w:sz w:val="18"/>
              </w:rPr>
              <w:t>37,1</w:t>
            </w:r>
          </w:p>
        </w:tc>
      </w:tr>
      <w:tr w:rsidR="00C73247" w:rsidRPr="00F60481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pct"/>
            <w:noWrap/>
            <w:vAlign w:val="center"/>
            <w:hideMark/>
          </w:tcPr>
          <w:p w:rsidR="00C73247" w:rsidRPr="00F60481" w:rsidRDefault="00C73247" w:rsidP="00753915">
            <w:pPr>
              <w:rPr>
                <w:rFonts w:ascii="Times New Roman" w:hAnsi="Times New Roman"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color w:val="1D1B11" w:themeColor="background2" w:themeShade="1A"/>
                <w:sz w:val="18"/>
              </w:rPr>
              <w:t>Italia</w:t>
            </w:r>
          </w:p>
        </w:tc>
        <w:tc>
          <w:tcPr>
            <w:tcW w:w="2075" w:type="pct"/>
            <w:noWrap/>
            <w:vAlign w:val="center"/>
            <w:hideMark/>
          </w:tcPr>
          <w:p w:rsidR="00C73247" w:rsidRPr="00F60481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D1B11" w:themeColor="background2" w:themeShade="1A"/>
                <w:sz w:val="18"/>
              </w:rPr>
            </w:pPr>
            <w:r w:rsidRPr="00F60481">
              <w:rPr>
                <w:rFonts w:ascii="Times New Roman" w:hAnsi="Times New Roman"/>
                <w:b/>
                <w:color w:val="1D1B11" w:themeColor="background2" w:themeShade="1A"/>
                <w:sz w:val="18"/>
              </w:rPr>
              <w:t>31,2</w:t>
            </w:r>
          </w:p>
        </w:tc>
      </w:tr>
    </w:tbl>
    <w:p w:rsidR="00C73247" w:rsidRPr="00D11CEA" w:rsidRDefault="00C73247" w:rsidP="00C73247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0"/>
        </w:rPr>
      </w:pPr>
      <w:r w:rsidRPr="00D11CEA">
        <w:rPr>
          <w:rFonts w:ascii="Times New Roman" w:hAnsi="Times New Roman"/>
          <w:b/>
          <w:color w:val="1D1B11" w:themeColor="background2" w:themeShade="1A"/>
          <w:sz w:val="20"/>
        </w:rPr>
        <w:t>Fonte: elaborazioni Censis su dati Istat</w:t>
      </w:r>
    </w:p>
    <w:p w:rsidR="00C73247" w:rsidRPr="00D3666E" w:rsidRDefault="00C73247" w:rsidP="00C73247">
      <w:pPr>
        <w:spacing w:after="0" w:line="240" w:lineRule="auto"/>
        <w:rPr>
          <w:rFonts w:ascii="Times New Roman" w:hAnsi="Times New Roman"/>
          <w:sz w:val="20"/>
        </w:rPr>
      </w:pPr>
      <w:bookmarkStart w:id="3" w:name="_Toc67662935"/>
    </w:p>
    <w:p w:rsidR="00C73247" w:rsidRDefault="00C73247" w:rsidP="00C73247">
      <w:pPr>
        <w:spacing w:after="0" w:line="240" w:lineRule="auto"/>
        <w:jc w:val="both"/>
        <w:rPr>
          <w:rFonts w:ascii="Times New Roman" w:hAnsi="Times New Roman"/>
          <w:b/>
        </w:rPr>
      </w:pPr>
      <w:r w:rsidRPr="00D3666E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Imprese chiamate a fare innovazione senza laureati</w:t>
      </w:r>
      <w:bookmarkEnd w:id="3"/>
      <w:r w:rsidR="0026551D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, l</w:t>
      </w:r>
      <w:r w:rsidRPr="00D3666E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’82% ha addetti con basso livello digitalizzazione.</w:t>
      </w:r>
      <w:r w:rsidRPr="00270D48">
        <w:rPr>
          <w:rFonts w:ascii="Times New Roman" w:hAnsi="Times New Roman"/>
          <w:b/>
        </w:rPr>
        <w:t xml:space="preserve"> 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La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formazione di capitale umano, la propensione all’innovazione, la creazione di nuove conoscenze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 competenze è l’altra faccia della sfida che ci attende nei prossimi anni per sfuggire alla parabola del declino. </w:t>
      </w:r>
      <w:r w:rsidRPr="0086309F">
        <w:rPr>
          <w:rFonts w:ascii="Times New Roman" w:hAnsi="Times New Roman"/>
          <w:b/>
          <w:color w:val="0D0D0D" w:themeColor="text1" w:themeTint="F2"/>
          <w:sz w:val="24"/>
          <w:szCs w:val="24"/>
        </w:rPr>
        <w:t>Anche in questo caso, come per le infrastrutture, la corsa è tutta in salita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>. I segni “meno” nell’ambito dell’istruzione – rispetto 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lla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media europea e agli altri P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>aesi partner – sono noti e tutti di entità considerevole (</w:t>
      </w:r>
      <w:r w:rsidRPr="008165CF">
        <w:rPr>
          <w:rFonts w:ascii="Times New Roman" w:hAnsi="Times New Roman"/>
          <w:b/>
          <w:color w:val="0D0D0D" w:themeColor="text1" w:themeTint="F2"/>
          <w:sz w:val="24"/>
          <w:szCs w:val="24"/>
        </w:rPr>
        <w:t>tab. 6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>): solo il 19,6% della popolazione 25-64 anni ha un titolo di studio secondario superiore; il margine negativo è del 13,6% rispetto alla media europea, ma sale al 18% rispetto alla Francia e al 25% se ci si confronta con il Regno Unito. Sono 14 i punti da recuperare per la quota di giovani 30-34enni con titolo di studio universitario nel confronto con la media europea; 24 rispetto al Regno Unito, 20 rispetto alla Francia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/>
          <w:b/>
        </w:rPr>
        <w:t xml:space="preserve"> </w:t>
      </w:r>
    </w:p>
    <w:p w:rsidR="00C73247" w:rsidRDefault="00C73247" w:rsidP="00C73247">
      <w:pPr>
        <w:spacing w:after="0" w:line="240" w:lineRule="auto"/>
        <w:rPr>
          <w:rFonts w:ascii="Times New Roman" w:hAnsi="Times New Roman"/>
          <w:b/>
        </w:rPr>
      </w:pPr>
    </w:p>
    <w:p w:rsidR="00C73247" w:rsidRPr="009A7DE1" w:rsidRDefault="00C73247" w:rsidP="00C73247">
      <w:pPr>
        <w:spacing w:after="0" w:line="240" w:lineRule="auto"/>
        <w:rPr>
          <w:rFonts w:ascii="Times New Roman" w:hAnsi="Times New Roman"/>
          <w:b/>
        </w:rPr>
      </w:pPr>
      <w:r w:rsidRPr="00270D48">
        <w:rPr>
          <w:rFonts w:ascii="Times New Roman" w:hAnsi="Times New Roman"/>
          <w:b/>
          <w:sz w:val="20"/>
          <w:szCs w:val="20"/>
        </w:rPr>
        <w:t xml:space="preserve">Tab. 6 – La “lunga marcia” nella formazione di capitale umano. Indicatori di istruzione superiore e terziaria </w:t>
      </w:r>
      <w:r>
        <w:rPr>
          <w:rFonts w:ascii="Times New Roman" w:hAnsi="Times New Roman"/>
          <w:b/>
          <w:sz w:val="20"/>
          <w:szCs w:val="20"/>
        </w:rPr>
        <w:t>nel confronto con i principali P</w:t>
      </w:r>
      <w:r w:rsidRPr="00270D48">
        <w:rPr>
          <w:rFonts w:ascii="Times New Roman" w:hAnsi="Times New Roman"/>
          <w:b/>
          <w:sz w:val="20"/>
          <w:szCs w:val="20"/>
        </w:rPr>
        <w:t>aesi europei e con l’Unione Europea. 2019 (val.% e diff.%)</w:t>
      </w:r>
    </w:p>
    <w:tbl>
      <w:tblPr>
        <w:tblStyle w:val="Grigliamedia2-Colore1"/>
        <w:tblW w:w="5009" w:type="pct"/>
        <w:tblLook w:val="04A0" w:firstRow="1" w:lastRow="0" w:firstColumn="1" w:lastColumn="0" w:noHBand="0" w:noVBand="1"/>
      </w:tblPr>
      <w:tblGrid>
        <w:gridCol w:w="3237"/>
        <w:gridCol w:w="1064"/>
        <w:gridCol w:w="1064"/>
        <w:gridCol w:w="1319"/>
        <w:gridCol w:w="1064"/>
        <w:gridCol w:w="1062"/>
        <w:gridCol w:w="1062"/>
      </w:tblGrid>
      <w:tr w:rsidR="00C73247" w:rsidRPr="00270D48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Indicatori</w:t>
            </w:r>
          </w:p>
        </w:tc>
        <w:tc>
          <w:tcPr>
            <w:tcW w:w="5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Italia</w:t>
            </w:r>
          </w:p>
        </w:tc>
        <w:tc>
          <w:tcPr>
            <w:tcW w:w="5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Francia</w:t>
            </w:r>
          </w:p>
        </w:tc>
        <w:tc>
          <w:tcPr>
            <w:tcW w:w="668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Germania</w:t>
            </w:r>
          </w:p>
        </w:tc>
        <w:tc>
          <w:tcPr>
            <w:tcW w:w="5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Regno Unito</w:t>
            </w:r>
          </w:p>
        </w:tc>
        <w:tc>
          <w:tcPr>
            <w:tcW w:w="538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UE 28</w:t>
            </w:r>
          </w:p>
        </w:tc>
        <w:tc>
          <w:tcPr>
            <w:tcW w:w="538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Diff. Italia-UE 28</w:t>
            </w:r>
          </w:p>
        </w:tc>
      </w:tr>
      <w:tr w:rsidR="00C73247" w:rsidRPr="00270D48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Popolazione 25-64 anni con almeno un titolo secondario superiore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19,6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37,9</w:t>
            </w:r>
          </w:p>
        </w:tc>
        <w:tc>
          <w:tcPr>
            <w:tcW w:w="66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29,9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44,7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33,2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-13,6</w:t>
            </w:r>
          </w:p>
        </w:tc>
      </w:tr>
      <w:tr w:rsidR="00C73247" w:rsidRPr="00270D48" w:rsidTr="0075391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Giovani 30-34 anni con titolo di studio terziario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27,6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47,5</w:t>
            </w:r>
          </w:p>
        </w:tc>
        <w:tc>
          <w:tcPr>
            <w:tcW w:w="66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35,5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50,0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41,6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-14,0</w:t>
            </w:r>
          </w:p>
        </w:tc>
      </w:tr>
      <w:tr w:rsidR="00C73247" w:rsidRPr="00270D48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Laureati di 25-34 anni nelle discipline STEM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24,6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26,8</w:t>
            </w:r>
          </w:p>
        </w:tc>
        <w:tc>
          <w:tcPr>
            <w:tcW w:w="66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32,2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23,2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25,4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-0,8</w:t>
            </w:r>
          </w:p>
        </w:tc>
      </w:tr>
      <w:tr w:rsidR="00C73247" w:rsidRPr="00270D48" w:rsidTr="0075391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Tasso di occupazione della popolazione di 25-64 anni con titolo terziario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77,9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83,7</w:t>
            </w:r>
          </w:p>
        </w:tc>
        <w:tc>
          <w:tcPr>
            <w:tcW w:w="66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85,7</w:t>
            </w:r>
          </w:p>
        </w:tc>
        <w:tc>
          <w:tcPr>
            <w:tcW w:w="539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83,7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83,3</w:t>
            </w:r>
          </w:p>
        </w:tc>
        <w:tc>
          <w:tcPr>
            <w:tcW w:w="538" w:type="pct"/>
            <w:noWrap/>
            <w:vAlign w:val="center"/>
            <w:hideMark/>
          </w:tcPr>
          <w:p w:rsidR="00C73247" w:rsidRPr="00270D48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-5,4</w:t>
            </w:r>
          </w:p>
        </w:tc>
      </w:tr>
      <w:tr w:rsidR="00C73247" w:rsidRPr="00270D48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vAlign w:val="center"/>
          </w:tcPr>
          <w:p w:rsidR="00C73247" w:rsidRPr="00270D48" w:rsidRDefault="00C73247" w:rsidP="00753915">
            <w:pPr>
              <w:spacing w:before="120" w:after="120"/>
              <w:rPr>
                <w:rFonts w:ascii="Times New Roman" w:hAnsi="Times New Roman"/>
                <w:b w:val="0"/>
              </w:rPr>
            </w:pPr>
            <w:r w:rsidRPr="00270D48">
              <w:rPr>
                <w:rFonts w:ascii="Times New Roman" w:hAnsi="Times New Roman"/>
                <w:b w:val="0"/>
              </w:rPr>
              <w:t>Tasso di occupazione dei 30-34enni</w:t>
            </w:r>
          </w:p>
        </w:tc>
        <w:tc>
          <w:tcPr>
            <w:tcW w:w="539" w:type="pct"/>
            <w:noWrap/>
            <w:vAlign w:val="center"/>
          </w:tcPr>
          <w:p w:rsidR="00C73247" w:rsidRPr="00270D48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78,9</w:t>
            </w:r>
          </w:p>
        </w:tc>
        <w:tc>
          <w:tcPr>
            <w:tcW w:w="539" w:type="pct"/>
            <w:noWrap/>
            <w:vAlign w:val="center"/>
          </w:tcPr>
          <w:p w:rsidR="00C73247" w:rsidRPr="00270D48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88,5</w:t>
            </w:r>
          </w:p>
        </w:tc>
        <w:tc>
          <w:tcPr>
            <w:tcW w:w="668" w:type="pct"/>
            <w:noWrap/>
            <w:vAlign w:val="center"/>
          </w:tcPr>
          <w:p w:rsidR="00C73247" w:rsidRPr="00270D48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89,5</w:t>
            </w:r>
          </w:p>
        </w:tc>
        <w:tc>
          <w:tcPr>
            <w:tcW w:w="539" w:type="pct"/>
            <w:noWrap/>
            <w:vAlign w:val="center"/>
          </w:tcPr>
          <w:p w:rsidR="00C73247" w:rsidRPr="00270D48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90,6</w:t>
            </w:r>
          </w:p>
        </w:tc>
        <w:tc>
          <w:tcPr>
            <w:tcW w:w="538" w:type="pct"/>
            <w:noWrap/>
            <w:vAlign w:val="center"/>
          </w:tcPr>
          <w:p w:rsidR="00C73247" w:rsidRPr="00270D48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87,7</w:t>
            </w:r>
          </w:p>
        </w:tc>
        <w:tc>
          <w:tcPr>
            <w:tcW w:w="538" w:type="pct"/>
            <w:noWrap/>
            <w:vAlign w:val="center"/>
          </w:tcPr>
          <w:p w:rsidR="00C73247" w:rsidRPr="00270D48" w:rsidRDefault="00C73247" w:rsidP="0075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0D48">
              <w:rPr>
                <w:rFonts w:ascii="Times New Roman" w:hAnsi="Times New Roman"/>
              </w:rPr>
              <w:t>-8,8</w:t>
            </w:r>
          </w:p>
        </w:tc>
      </w:tr>
    </w:tbl>
    <w:p w:rsidR="00C73247" w:rsidRPr="00D11CEA" w:rsidRDefault="00C73247" w:rsidP="00C732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1CEA">
        <w:rPr>
          <w:rFonts w:ascii="Times New Roman" w:hAnsi="Times New Roman"/>
          <w:b/>
          <w:sz w:val="20"/>
          <w:szCs w:val="20"/>
        </w:rPr>
        <w:t>Fonte: elaborazioni Censis su dati Istat</w:t>
      </w:r>
    </w:p>
    <w:p w:rsidR="00C73247" w:rsidRDefault="00C73247" w:rsidP="00C73247">
      <w:pPr>
        <w:spacing w:before="120" w:after="12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E5091">
        <w:rPr>
          <w:rFonts w:ascii="Times New Roman" w:hAnsi="Times New Roman"/>
          <w:b/>
          <w:color w:val="0D0D0D" w:themeColor="text1" w:themeTint="F2"/>
          <w:sz w:val="24"/>
          <w:szCs w:val="24"/>
        </w:rPr>
        <w:t>Fatto 100 il numero delle imprese innovative con almeno 10 addetti 38 di queste non sono dotate di personale laureato</w:t>
      </w:r>
      <w:r w:rsidRPr="00270D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(tab. 7). Fra le imprese più piccole – 10-49 addetti – la quota delle imprese innovative sprovviste di laureati sale al 43,3%. Solo al crescere della dimensione questa percentuale si riduce drasticamente: 13% fra le imprese nella classe 50-249 addetti; 2,9% nella classe con almeno 250 addetti.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E509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Fatto 100 il totale delle imprese con almeno 10 addetti, 82 di queste hanno un livello di digitalizzazione basso o molto basso e solo 13 impiegano specialisti ICT, figure professionali che fanno da volano nella digitalizzazione delle attività (tab.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7</w:t>
      </w:r>
      <w:r w:rsidRPr="00CE5091">
        <w:rPr>
          <w:rFonts w:ascii="Times New Roman" w:hAnsi="Times New Roman"/>
          <w:b/>
          <w:color w:val="0D0D0D" w:themeColor="text1" w:themeTint="F2"/>
          <w:sz w:val="24"/>
          <w:szCs w:val="24"/>
        </w:rPr>
        <w:t>).</w:t>
      </w:r>
    </w:p>
    <w:p w:rsidR="00C73247" w:rsidRPr="00270D48" w:rsidRDefault="00C73247" w:rsidP="00C73247">
      <w:pPr>
        <w:spacing w:before="120" w:after="12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70D48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Tab. </w:t>
      </w: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7</w:t>
      </w:r>
      <w:r w:rsidRPr="00270D48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– Imprese poco digitali. Livello di digitalizzazione e competenze ICT nelle imprese con almeno 10 addetti. 2020 (val.%)</w:t>
      </w:r>
    </w:p>
    <w:tbl>
      <w:tblPr>
        <w:tblStyle w:val="Grigliamedia2-Colore1"/>
        <w:tblW w:w="5000" w:type="pct"/>
        <w:tblLook w:val="04A0" w:firstRow="1" w:lastRow="0" w:firstColumn="1" w:lastColumn="0" w:noHBand="0" w:noVBand="1"/>
      </w:tblPr>
      <w:tblGrid>
        <w:gridCol w:w="7292"/>
        <w:gridCol w:w="2562"/>
      </w:tblGrid>
      <w:tr w:rsidR="00C73247" w:rsidRPr="00B776F4" w:rsidTr="0075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0" w:type="pct"/>
            <w:noWrap/>
            <w:vAlign w:val="center"/>
          </w:tcPr>
          <w:p w:rsidR="00C73247" w:rsidRPr="00B776F4" w:rsidRDefault="00C73247" w:rsidP="00753915">
            <w:pPr>
              <w:spacing w:before="120" w:after="120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b w:val="0"/>
                <w:color w:val="0D0D0D" w:themeColor="text1" w:themeTint="F2"/>
              </w:rPr>
              <w:t>Indicatori</w:t>
            </w:r>
          </w:p>
        </w:tc>
        <w:tc>
          <w:tcPr>
            <w:tcW w:w="1300" w:type="pct"/>
            <w:noWrap/>
            <w:vAlign w:val="center"/>
          </w:tcPr>
          <w:p w:rsidR="00C73247" w:rsidRPr="00B776F4" w:rsidRDefault="00C73247" w:rsidP="0075391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b w:val="0"/>
                <w:color w:val="0D0D0D" w:themeColor="text1" w:themeTint="F2"/>
              </w:rPr>
              <w:t>Val.%</w:t>
            </w:r>
          </w:p>
        </w:tc>
      </w:tr>
      <w:tr w:rsidR="00C73247" w:rsidRPr="00B776F4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pct"/>
            <w:noWrap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b w:val="0"/>
                <w:color w:val="0D0D0D" w:themeColor="text1" w:themeTint="F2"/>
              </w:rPr>
              <w:t>Imprese con livello di digitalizzazione basso o molto basso (*)</w:t>
            </w:r>
          </w:p>
        </w:tc>
        <w:tc>
          <w:tcPr>
            <w:tcW w:w="1300" w:type="pct"/>
            <w:noWrap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color w:val="0D0D0D" w:themeColor="text1" w:themeTint="F2"/>
              </w:rPr>
              <w:t>82</w:t>
            </w:r>
            <w:r w:rsidRPr="00B776F4">
              <w:rPr>
                <w:rFonts w:ascii="Times New Roman" w:hAnsi="Times New Roman"/>
                <w:b/>
                <w:color w:val="0D0D0D" w:themeColor="text1" w:themeTint="F2"/>
              </w:rPr>
              <w:t>,0</w:t>
            </w:r>
          </w:p>
        </w:tc>
      </w:tr>
      <w:tr w:rsidR="00C73247" w:rsidRPr="00B776F4" w:rsidTr="0075391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pct"/>
            <w:noWrap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b w:val="0"/>
                <w:color w:val="0D0D0D" w:themeColor="text1" w:themeTint="F2"/>
              </w:rPr>
              <w:t>Imprese che impiegano specialisti ICT (**)</w:t>
            </w:r>
          </w:p>
        </w:tc>
        <w:tc>
          <w:tcPr>
            <w:tcW w:w="1300" w:type="pct"/>
            <w:noWrap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color w:val="0D0D0D" w:themeColor="text1" w:themeTint="F2"/>
              </w:rPr>
              <w:t>12,6</w:t>
            </w:r>
          </w:p>
        </w:tc>
      </w:tr>
      <w:tr w:rsidR="00C73247" w:rsidRPr="00B776F4" w:rsidTr="0075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pct"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b w:val="0"/>
                <w:color w:val="0D0D0D" w:themeColor="text1" w:themeTint="F2"/>
              </w:rPr>
              <w:t xml:space="preserve">Imprese che nel 2019 hanno assunto o provato ad assumere personale con competenze specialistiche in ICT </w:t>
            </w:r>
          </w:p>
        </w:tc>
        <w:tc>
          <w:tcPr>
            <w:tcW w:w="1300" w:type="pct"/>
            <w:noWrap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color w:val="0D0D0D" w:themeColor="text1" w:themeTint="F2"/>
              </w:rPr>
              <w:t>4,4</w:t>
            </w:r>
          </w:p>
        </w:tc>
      </w:tr>
      <w:tr w:rsidR="00C73247" w:rsidRPr="00B776F4" w:rsidTr="0075391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pct"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b w:val="0"/>
                <w:color w:val="0D0D0D" w:themeColor="text1" w:themeTint="F2"/>
              </w:rPr>
              <w:t>Imprese che hanno organizzato nel 2019 corsi di formazione per sviluppare o aggiornare le competenze ICT/IT dei propri addetti</w:t>
            </w:r>
          </w:p>
        </w:tc>
        <w:tc>
          <w:tcPr>
            <w:tcW w:w="1300" w:type="pct"/>
            <w:noWrap/>
            <w:vAlign w:val="center"/>
            <w:hideMark/>
          </w:tcPr>
          <w:p w:rsidR="00C73247" w:rsidRPr="00B776F4" w:rsidRDefault="00C73247" w:rsidP="0075391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</w:rPr>
            </w:pPr>
            <w:r w:rsidRPr="00B776F4">
              <w:rPr>
                <w:rFonts w:ascii="Times New Roman" w:hAnsi="Times New Roman"/>
                <w:color w:val="0D0D0D" w:themeColor="text1" w:themeTint="F2"/>
              </w:rPr>
              <w:t>15,5</w:t>
            </w:r>
          </w:p>
        </w:tc>
      </w:tr>
    </w:tbl>
    <w:p w:rsidR="00FA619A" w:rsidRPr="00C73247" w:rsidRDefault="00C73247" w:rsidP="00C73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CEA">
        <w:rPr>
          <w:rFonts w:ascii="Times New Roman" w:hAnsi="Times New Roman"/>
          <w:b/>
          <w:sz w:val="20"/>
          <w:szCs w:val="20"/>
        </w:rPr>
        <w:t xml:space="preserve">Fonte: elaborazioni Censis su dati Istat: </w:t>
      </w:r>
      <w:r w:rsidRPr="00D11CEA">
        <w:rPr>
          <w:rFonts w:ascii="Times New Roman" w:hAnsi="Times New Roman"/>
          <w:sz w:val="20"/>
          <w:szCs w:val="20"/>
        </w:rPr>
        <w:t>Digital Intensity Index misura l’utilizzo delle imprese di 12 diverse tecnologie digitali (livello molto basso: fino a 3 tecnologie utilizzate su 12; basso: da 4 a 6 tecnologie; medio: da 7 a 9; molto alto: da 10 a 12)</w:t>
      </w:r>
      <w:r>
        <w:rPr>
          <w:rFonts w:ascii="Times New Roman" w:hAnsi="Times New Roman"/>
          <w:sz w:val="20"/>
          <w:szCs w:val="20"/>
        </w:rPr>
        <w:t>.</w:t>
      </w:r>
    </w:p>
    <w:sectPr w:rsidR="00FA619A" w:rsidRPr="00C73247" w:rsidSect="00A52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3247"/>
    <w:rsid w:val="0011441E"/>
    <w:rsid w:val="0026551D"/>
    <w:rsid w:val="006D681E"/>
    <w:rsid w:val="008165CF"/>
    <w:rsid w:val="00833F27"/>
    <w:rsid w:val="00C73247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EF42-CC78-4F6A-B99F-10B8060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247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32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32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media2-Colore1">
    <w:name w:val="Medium Grid 2 Accent 1"/>
    <w:basedOn w:val="Tabellanormale"/>
    <w:uiPriority w:val="68"/>
    <w:rsid w:val="00C73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0A6B.B05642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onfcooperative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Laura Viviani</cp:lastModifiedBy>
  <cp:revision>2</cp:revision>
  <dcterms:created xsi:type="dcterms:W3CDTF">2021-04-09T07:13:00Z</dcterms:created>
  <dcterms:modified xsi:type="dcterms:W3CDTF">2021-04-09T07:13:00Z</dcterms:modified>
</cp:coreProperties>
</file>