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FE" w:rsidRDefault="005F3EFE" w:rsidP="005F3E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2B4765" wp14:editId="7A5EC32E">
            <wp:extent cx="4635500" cy="1390650"/>
            <wp:effectExtent l="0" t="0" r="0" b="0"/>
            <wp:docPr id="2" name="Immagine 2" descr="Giornata della Sostenib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ornata della Sostenibilit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30" cy="13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FE" w:rsidRDefault="005F3EFE" w:rsidP="005F3E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EFE" w:rsidRDefault="005F3EFE" w:rsidP="005F3EFE">
      <w:pPr>
        <w:jc w:val="center"/>
        <w:rPr>
          <w:rFonts w:ascii="Times New Roman" w:hAnsi="Times New Roman"/>
          <w:b/>
          <w:sz w:val="32"/>
          <w:szCs w:val="32"/>
        </w:rPr>
      </w:pPr>
      <w:r w:rsidRPr="00B61E8B">
        <w:rPr>
          <w:rFonts w:ascii="Times New Roman" w:hAnsi="Times New Roman"/>
          <w:b/>
          <w:sz w:val="32"/>
          <w:szCs w:val="32"/>
        </w:rPr>
        <w:t>Prima Giornata della Sostenibilità, l’impegno del sistema Confcooperative</w:t>
      </w:r>
      <w:r w:rsidR="00703484">
        <w:rPr>
          <w:rFonts w:ascii="Times New Roman" w:hAnsi="Times New Roman"/>
          <w:b/>
          <w:sz w:val="32"/>
          <w:szCs w:val="32"/>
        </w:rPr>
        <w:t xml:space="preserve"> con:</w:t>
      </w:r>
      <w:bookmarkStart w:id="0" w:name="_GoBack"/>
      <w:bookmarkEnd w:id="0"/>
    </w:p>
    <w:p w:rsidR="00B61E8B" w:rsidRPr="00B61E8B" w:rsidRDefault="00B61E8B" w:rsidP="005F3EF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3EFE" w:rsidRDefault="00703484" w:rsidP="005F3E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Assimoco, Centro Tu</w:t>
      </w:r>
      <w:r w:rsidR="005F3EFE">
        <w:rPr>
          <w:rFonts w:ascii="Times New Roman" w:hAnsi="Times New Roman"/>
          <w:b/>
          <w:sz w:val="28"/>
          <w:szCs w:val="28"/>
        </w:rPr>
        <w:t xml:space="preserve">ristico Cooperativo, Cooperazione Salute, Coopermondo, Federcasse, </w:t>
      </w:r>
      <w:r w:rsidR="00B61E8B">
        <w:rPr>
          <w:rFonts w:ascii="Times New Roman" w:hAnsi="Times New Roman"/>
          <w:b/>
          <w:sz w:val="28"/>
          <w:szCs w:val="28"/>
        </w:rPr>
        <w:t xml:space="preserve">Fondosviluppo, Gruppo Cassa Centrale, Gruppo Bancario Iccrea, Italian Consulting Network, Node e Power Energia </w:t>
      </w:r>
    </w:p>
    <w:p w:rsidR="00703484" w:rsidRDefault="00703484" w:rsidP="005F3E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484" w:rsidRPr="00703484" w:rsidRDefault="00703484" w:rsidP="00703484">
      <w:pPr>
        <w:jc w:val="both"/>
        <w:rPr>
          <w:rFonts w:ascii="Times New Roman" w:hAnsi="Times New Roman"/>
          <w:b/>
          <w:sz w:val="28"/>
          <w:szCs w:val="28"/>
        </w:rPr>
      </w:pPr>
      <w:r w:rsidRPr="00703484">
        <w:rPr>
          <w:rFonts w:ascii="Times New Roman" w:hAnsi="Times New Roman"/>
          <w:b/>
          <w:sz w:val="28"/>
          <w:szCs w:val="28"/>
        </w:rPr>
        <w:t xml:space="preserve">Fabiola Di Loreto, direttore generale Confcooperative </w:t>
      </w:r>
    </w:p>
    <w:p w:rsidR="005F3EFE" w:rsidRPr="00703484" w:rsidRDefault="00703484" w:rsidP="00703484">
      <w:pPr>
        <w:jc w:val="both"/>
        <w:rPr>
          <w:rFonts w:ascii="Times New Roman" w:hAnsi="Times New Roman"/>
          <w:sz w:val="28"/>
          <w:szCs w:val="28"/>
        </w:rPr>
      </w:pPr>
      <w:r w:rsidRPr="00703484">
        <w:rPr>
          <w:rFonts w:ascii="Times New Roman" w:hAnsi="Times New Roman"/>
          <w:sz w:val="28"/>
          <w:szCs w:val="28"/>
        </w:rPr>
        <w:t>Promuovere la crescita economica attraverso il lavoro dignitoso e il benessere delle persone (SDG 8) è il contributo più grande che le nostre imprese danno ad Agenda 2030. Confcooperative contribuisce anche ad altri aspetti che vanno dalla salute delle persone e dell’ambiente (SDGs 3, 14 e 15) alla produzione e al consumo responsabili (SDG 12), dall’impegno sulle politiche di genere (SDG5) all’inclusione per la riduzione delle disuguaglianze (SDG10). Un ruolo fondamentale in questo percorso è la formazione valorizzata co</w:t>
      </w:r>
      <w:r>
        <w:rPr>
          <w:rFonts w:ascii="Times New Roman" w:hAnsi="Times New Roman"/>
          <w:sz w:val="28"/>
          <w:szCs w:val="28"/>
        </w:rPr>
        <w:t>me asset strategico.</w:t>
      </w:r>
    </w:p>
    <w:p w:rsidR="00703484" w:rsidRDefault="00703484">
      <w:pPr>
        <w:jc w:val="both"/>
        <w:rPr>
          <w:rFonts w:ascii="Times New Roman" w:hAnsi="Times New Roman"/>
          <w:b/>
          <w:sz w:val="28"/>
          <w:szCs w:val="28"/>
        </w:rPr>
      </w:pPr>
    </w:p>
    <w:p w:rsidR="00D002AD" w:rsidRDefault="00ED2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Ruggero Frecchiami, direttore generale Assimoco</w:t>
      </w:r>
    </w:p>
    <w:p w:rsidR="00D002AD" w:rsidRDefault="00ED24B4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Assimoco è la compagnia assicurativa di riferimento del movimento cooperativo italiano dal 1978, attiva nella protezione e promozione del benessere della famiglia, delle PMI e degli enti del terzo settore nei territori. Forte delle proprie origini e con lo scopo di abbracciare un nuovo paradigma del fare impresa, Assimoco è la prima compagnia in Italia certificata 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t>B Corp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qualificata 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t>Società Benefit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773B1F" w:rsidRDefault="00773B1F">
      <w:pPr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F3EFE" w:rsidRPr="005F3EFE" w:rsidRDefault="005F3EFE" w:rsidP="005F3EFE">
      <w:pPr>
        <w:pStyle w:val="Testonormale"/>
        <w:jc w:val="both"/>
        <w:rPr>
          <w:rFonts w:ascii="Times New Roman" w:eastAsia="Calibri" w:hAnsi="Times New Roman"/>
          <w:b/>
          <w:sz w:val="28"/>
          <w:szCs w:val="28"/>
          <w:lang w:eastAsia="it-IT"/>
        </w:rPr>
      </w:pPr>
      <w:r w:rsidRPr="005F3EFE">
        <w:rPr>
          <w:rFonts w:ascii="Times New Roman" w:eastAsia="Calibri" w:hAnsi="Times New Roman"/>
          <w:b/>
          <w:sz w:val="28"/>
          <w:szCs w:val="28"/>
          <w:lang w:eastAsia="it-IT"/>
        </w:rPr>
        <w:t xml:space="preserve">Irene Bongiovanni, presidente </w:t>
      </w:r>
      <w:r w:rsidR="00773B1F" w:rsidRPr="005F3EFE">
        <w:rPr>
          <w:rFonts w:ascii="Times New Roman" w:eastAsia="Calibri" w:hAnsi="Times New Roman"/>
          <w:b/>
          <w:sz w:val="28"/>
          <w:szCs w:val="28"/>
          <w:lang w:eastAsia="it-IT"/>
        </w:rPr>
        <w:t xml:space="preserve">CTC - Centro Turistico Cooperativo </w:t>
      </w:r>
    </w:p>
    <w:p w:rsidR="00773B1F" w:rsidRPr="00773B1F" w:rsidRDefault="005F3EFE" w:rsidP="005F3EFE">
      <w:pPr>
        <w:pStyle w:val="Testonormale"/>
        <w:jc w:val="both"/>
        <w:rPr>
          <w:rFonts w:ascii="Times New Roman" w:eastAsia="Calibri" w:hAnsi="Times New Roman"/>
          <w:sz w:val="28"/>
          <w:szCs w:val="28"/>
          <w:lang w:eastAsia="it-IT"/>
        </w:rPr>
      </w:pPr>
      <w:r>
        <w:rPr>
          <w:rFonts w:ascii="Times New Roman" w:eastAsia="Calibri" w:hAnsi="Times New Roman"/>
          <w:sz w:val="28"/>
          <w:szCs w:val="28"/>
          <w:lang w:eastAsia="it-IT"/>
        </w:rPr>
        <w:t>È</w:t>
      </w:r>
      <w:r w:rsidR="00773B1F" w:rsidRPr="00773B1F">
        <w:rPr>
          <w:rFonts w:ascii="Times New Roman" w:eastAsia="Calibri" w:hAnsi="Times New Roman"/>
          <w:sz w:val="28"/>
          <w:szCs w:val="28"/>
          <w:lang w:eastAsia="it-IT"/>
        </w:rPr>
        <w:t>il tour operat</w:t>
      </w:r>
      <w:r w:rsidR="00773B1F">
        <w:rPr>
          <w:rFonts w:ascii="Times New Roman" w:eastAsia="Calibri" w:hAnsi="Times New Roman"/>
          <w:sz w:val="28"/>
          <w:szCs w:val="28"/>
          <w:lang w:eastAsia="it-IT"/>
        </w:rPr>
        <w:t>or di riferimento di Confcooperat</w:t>
      </w:r>
      <w:r w:rsidR="00773B1F" w:rsidRPr="00773B1F">
        <w:rPr>
          <w:rFonts w:ascii="Times New Roman" w:eastAsia="Calibri" w:hAnsi="Times New Roman"/>
          <w:sz w:val="28"/>
          <w:szCs w:val="28"/>
          <w:lang w:eastAsia="it-IT"/>
        </w:rPr>
        <w:t>ive.</w:t>
      </w:r>
      <w:r>
        <w:rPr>
          <w:rFonts w:ascii="Times New Roman" w:eastAsia="Calibri" w:hAnsi="Times New Roman"/>
          <w:sz w:val="28"/>
          <w:szCs w:val="28"/>
          <w:lang w:eastAsia="it-IT"/>
        </w:rPr>
        <w:t xml:space="preserve"> </w:t>
      </w:r>
      <w:r w:rsidR="00773B1F" w:rsidRPr="00773B1F">
        <w:rPr>
          <w:rFonts w:ascii="Times New Roman" w:eastAsia="Calibri" w:hAnsi="Times New Roman"/>
          <w:sz w:val="28"/>
          <w:szCs w:val="28"/>
          <w:lang w:eastAsia="it-IT"/>
        </w:rPr>
        <w:t>Svolge un ruolo fondamentale nell'aggregazione e promozione delle offerte delle cooperative associate.</w:t>
      </w:r>
      <w:r w:rsidR="00773B1F">
        <w:rPr>
          <w:rFonts w:ascii="Times New Roman" w:eastAsia="Calibri" w:hAnsi="Times New Roman"/>
          <w:sz w:val="28"/>
          <w:szCs w:val="28"/>
          <w:lang w:eastAsia="it-IT"/>
        </w:rPr>
        <w:t xml:space="preserve"> </w:t>
      </w:r>
      <w:r w:rsidR="00773B1F" w:rsidRPr="00773B1F">
        <w:rPr>
          <w:rFonts w:ascii="Times New Roman" w:eastAsia="Calibri" w:hAnsi="Times New Roman"/>
          <w:sz w:val="28"/>
          <w:szCs w:val="28"/>
          <w:lang w:eastAsia="it-IT"/>
        </w:rPr>
        <w:t>È sinonimo di una proposta turistica sostenibile e innovativa, che ha il suo focus sulle aree interne, borghi, Cammini, alla scoperta delle comun</w:t>
      </w:r>
      <w:r>
        <w:rPr>
          <w:rFonts w:ascii="Times New Roman" w:eastAsia="Calibri" w:hAnsi="Times New Roman"/>
          <w:sz w:val="28"/>
          <w:szCs w:val="28"/>
          <w:lang w:eastAsia="it-IT"/>
        </w:rPr>
        <w:t>ità. Con il lavoro del CTC Conf</w:t>
      </w:r>
      <w:r w:rsidR="00773B1F" w:rsidRPr="00773B1F">
        <w:rPr>
          <w:rFonts w:ascii="Times New Roman" w:eastAsia="Calibri" w:hAnsi="Times New Roman"/>
          <w:sz w:val="28"/>
          <w:szCs w:val="28"/>
          <w:lang w:eastAsia="it-IT"/>
        </w:rPr>
        <w:t>cooperative vuole dare il proprio contributo concreto proprio allo sviluppo sostenibile dei territori.</w:t>
      </w:r>
    </w:p>
    <w:p w:rsidR="00773B1F" w:rsidRDefault="00773B1F">
      <w:pPr>
        <w:jc w:val="both"/>
      </w:pPr>
    </w:p>
    <w:p w:rsidR="00D002AD" w:rsidRDefault="00ED24B4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Michele Odorizzi, presidente Cooperazione Salute</w:t>
      </w:r>
    </w:p>
    <w:p w:rsidR="00D002AD" w:rsidRDefault="00ED24B4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Cooperazione Salute è la società di mutuo soccorso di Confcooperative per la sanità integrativa. In un contesto in cui crescono e si diversificano le esigenze di cura della popolazione e aumentano le spese sanitarie a carico dei cittadini, la sanità integrativa rappresenta un supporto indispensabile e sussidiario al Servizio Sanitario Nazionale e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alle politiche di welfare del nostro Paese, per poter garantire accessibilità anche attraverso un network sanitario e odontoiatrico di sistema. </w:t>
      </w:r>
    </w:p>
    <w:p w:rsidR="005F3EFE" w:rsidRDefault="005F3EFE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F3EFE" w:rsidRPr="005F3EFE" w:rsidRDefault="005F3EFE" w:rsidP="005F3EFE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F3EFE">
        <w:rPr>
          <w:rFonts w:ascii="Times New Roman" w:hAnsi="Times New Roman"/>
          <w:b/>
          <w:color w:val="000000"/>
          <w:sz w:val="28"/>
          <w:szCs w:val="28"/>
          <w:lang w:eastAsia="en-US"/>
        </w:rPr>
        <w:t>Marco Menni, presidente Coopermondo</w:t>
      </w:r>
    </w:p>
    <w:p w:rsidR="005F3EFE" w:rsidRPr="005F3EFE" w:rsidRDefault="005F3EFE" w:rsidP="005F3EFE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3EFE">
        <w:rPr>
          <w:rFonts w:ascii="Times New Roman" w:hAnsi="Times New Roman"/>
          <w:color w:val="000000"/>
          <w:sz w:val="28"/>
          <w:szCs w:val="28"/>
          <w:lang w:eastAsia="en-US"/>
        </w:rPr>
        <w:t>I nostri progetti contribuiscono all’Agenda 2030 delle Nazioni Unite promuovendo il modello cooperativo come il più adatto a vincere la sfida della povertà (SDG1) in quanto strumento per una crescita economica e sociale sostenibile e per la promozione del lavoro dignitoso nelle comunità più vulnerabili dei Paesi in via di sviluppo, con particolare attenzione a donne e giovani.</w:t>
      </w:r>
    </w:p>
    <w:p w:rsidR="005F3EFE" w:rsidRPr="005F3EFE" w:rsidRDefault="005F3EFE" w:rsidP="005F3EFE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F3EFE" w:rsidRPr="005F3EFE" w:rsidRDefault="005F3EFE" w:rsidP="005F3EFE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3EF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Sergio Gatti, direttore generale Federcasse </w:t>
      </w:r>
      <w:r w:rsidRPr="005F3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La missione delle BCC riguarda almeno 6 degli obiettivi dell’Agenda 2030. </w:t>
      </w:r>
      <w:r w:rsidRPr="005F3EFE">
        <w:rPr>
          <w:rFonts w:ascii="Times New Roman" w:hAnsi="Times New Roman"/>
          <w:i/>
          <w:color w:val="000000"/>
          <w:sz w:val="28"/>
          <w:szCs w:val="28"/>
          <w:lang w:eastAsia="en-US"/>
        </w:rPr>
        <w:t>1.Sconfiggere la povertà. 12.Consumo e produzione responsabili</w:t>
      </w:r>
      <w:r w:rsidRPr="005F3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Perché le BCC sono capillarmente presenti, costituiscono un presidio contro lo spopolamento dei territori e fanno finanza geo-circolare. </w:t>
      </w:r>
      <w:r w:rsidRPr="005F3EFE">
        <w:rPr>
          <w:rFonts w:ascii="Times New Roman" w:hAnsi="Times New Roman"/>
          <w:i/>
          <w:color w:val="000000"/>
          <w:sz w:val="28"/>
          <w:szCs w:val="28"/>
          <w:lang w:eastAsia="en-US"/>
        </w:rPr>
        <w:t>8.Lavoro dignitoso e crescita economica. 10.Ridurre le diseguaglianze</w:t>
      </w:r>
      <w:r w:rsidRPr="005F3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Perché le BCC diminuiscono le diseguaglianze di reddito finanziando il lavoro e accrescendo le opportunità di accesso al credito. </w:t>
      </w:r>
      <w:r w:rsidRPr="005F3EFE">
        <w:rPr>
          <w:rFonts w:ascii="Times New Roman" w:hAnsi="Times New Roman"/>
          <w:i/>
          <w:color w:val="000000"/>
          <w:sz w:val="28"/>
          <w:szCs w:val="28"/>
          <w:lang w:eastAsia="en-US"/>
        </w:rPr>
        <w:t>3. Salute e benessere. 13. Lotta contro il cambiamento climatico</w:t>
      </w:r>
      <w:r w:rsidRPr="005F3EFE">
        <w:rPr>
          <w:rFonts w:ascii="Times New Roman" w:hAnsi="Times New Roman"/>
          <w:color w:val="000000"/>
          <w:sz w:val="28"/>
          <w:szCs w:val="28"/>
          <w:lang w:eastAsia="en-US"/>
        </w:rPr>
        <w:t>. Perché le BCC sono banche ‘green’, da sempre attente alla tutela ambientale, al risparmio energetico, all’utilizzo consapevole delle risorse.</w:t>
      </w:r>
    </w:p>
    <w:p w:rsidR="005F3EFE" w:rsidRDefault="005F3EFE">
      <w:pPr>
        <w:suppressAutoHyphens w:val="0"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002AD" w:rsidRDefault="00ED24B4">
      <w:pPr>
        <w:suppressAutoHyphens w:val="0"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Silvia Rossi, direttore Fondosviluppo</w:t>
      </w:r>
    </w:p>
    <w:p w:rsidR="00D002AD" w:rsidRDefault="00ED24B4">
      <w:pPr>
        <w:jc w:val="both"/>
      </w:pPr>
      <w:r>
        <w:rPr>
          <w:rFonts w:ascii="Times New Roman" w:hAnsi="Times New Roman"/>
          <w:bCs/>
          <w:sz w:val="28"/>
          <w:szCs w:val="28"/>
        </w:rPr>
        <w:t>Fondosviluppo</w:t>
      </w:r>
      <w:r>
        <w:rPr>
          <w:rFonts w:ascii="Times New Roman" w:hAnsi="Times New Roman"/>
          <w:sz w:val="28"/>
          <w:szCs w:val="28"/>
        </w:rPr>
        <w:t xml:space="preserve"> è il fondo mutualistico di Confcooperative che ritrova nella propria mission istituzionale, la Legge 59 del 1992, alcuni dei 17 obiettivi di sviluppo sostenibile in particolare lo sviluppo del Mezzogiorno, l’innovazione tecnologica e l’incremento dell’occupazione. Raccoglie e reinveste risorse economiche che provengono dal movimento cooperativo per creare nuove opportunità di lavoro, promuovere e sviluppare nuova cooperazione, con un’attenzione particolare alla costruzione di un’economia </w:t>
      </w:r>
      <w:r>
        <w:rPr>
          <w:rFonts w:ascii="Times New Roman" w:hAnsi="Times New Roman"/>
          <w:bCs/>
          <w:i/>
          <w:iCs/>
          <w:sz w:val="28"/>
          <w:szCs w:val="28"/>
        </w:rPr>
        <w:t>più inclusiva e sostenibile</w:t>
      </w:r>
      <w:r>
        <w:rPr>
          <w:rFonts w:ascii="Times New Roman" w:hAnsi="Times New Roman"/>
          <w:sz w:val="28"/>
          <w:szCs w:val="28"/>
        </w:rPr>
        <w:t>.</w:t>
      </w:r>
    </w:p>
    <w:p w:rsidR="00D002AD" w:rsidRDefault="00D002AD">
      <w:pPr>
        <w:suppressAutoHyphens w:val="0"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002AD" w:rsidRDefault="00ED24B4">
      <w:pPr>
        <w:suppressAutoHyphens w:val="0"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Enrica Cavalli, presidente del Comitato Sostenibilità e Identità di Cassa Centrale Banca</w:t>
      </w:r>
    </w:p>
    <w:p w:rsidR="00D002AD" w:rsidRDefault="00ED24B4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«Il Gruppo Cassa Centrale sviluppa un approccio alla Sostenibilità, che abbina la piena compatibilità con il sistema, alla valorizzazione dei nostri tratti identitari, come i valori della Cooperazione di credito, attraverso il Codice Etico e le Politiche ESG. In questo percorso, abbiamo raggiunto gli 8,5 miliardi di masse gestite sostenibili, e registrato una diminuzione delle emissioni del 27% anche acquistando energia elettrica da fonti rinnovabili per il 75%».</w:t>
      </w:r>
    </w:p>
    <w:p w:rsidR="00D002AD" w:rsidRDefault="00D002AD">
      <w:pPr>
        <w:rPr>
          <w:rFonts w:ascii="Times New Roman" w:hAnsi="Times New Roman"/>
        </w:rPr>
      </w:pPr>
    </w:p>
    <w:p w:rsidR="00D002AD" w:rsidRDefault="00ED24B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Giuseppe Gambi, consigliere Delegato alla Sostenibilità per il Gruppo Bancario Cooperativo Iccrea </w:t>
      </w:r>
    </w:p>
    <w:p w:rsidR="00D002AD" w:rsidRDefault="00ED24B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«Il Gruppo Bancario Cooperativo Iccrea, accanto a ognuna delle sue BCC, accompagna le comunità locali nell’attuale fase di transizione ecologica, che non può prescindere dal sostegno al territorio le mPMI e le famiglie hanno bisogno di un partner di fiducia in grado di creare valore a beneficio di tutti. Anche per questo il Gruppo, da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inizio pandemia, ha finalizzato azioni di beneficienza e solidarietà per 30 milioni di euro».</w:t>
      </w:r>
    </w:p>
    <w:p w:rsidR="00D002AD" w:rsidRDefault="00D002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2AD" w:rsidRDefault="00ED24B4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Ugo Campagnaro, presidente ICN</w:t>
      </w:r>
    </w:p>
    <w:p w:rsidR="00D002AD" w:rsidRDefault="00ED24B4">
      <w:pPr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«ICN è al fianco delle cooperative per l’implementazione dei loro percorsi di sostenibilità. Stiamo mettendo a punto sistemi di valutazione e modelli di servizio che consentiranno alle imprese di: </w:t>
      </w:r>
      <w:r>
        <w:rPr>
          <w:rFonts w:ascii="Times New Roman" w:hAnsi="Times New Roman"/>
          <w:color w:val="000000"/>
          <w:sz w:val="28"/>
          <w:szCs w:val="28"/>
        </w:rPr>
        <w:t>autovalutare la compliance rispetto a normative e obiettivi ESG; confrontare il proprio posizionamento con quello medio di settore; definire i propri action plan di miglioramento; disporre di formazione e competenze per realizzare i propri obiettivi; intercettare le risorse del PNRR e dei Fondi strutturali».</w:t>
      </w:r>
    </w:p>
    <w:p w:rsidR="00D002AD" w:rsidRDefault="00ED24B4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Gaetano Mancini, presidente Node</w:t>
      </w:r>
    </w:p>
    <w:p w:rsidR="00D002AD" w:rsidRDefault="00ED24B4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Le infrastrutture tecnologiche possono favorire l’ottimizzazione delle risorse e la riduzione dell’impatto ambientale. NODE, che è Digital Innovation Hub di Confcooperative, orienta il proprio lavoro in tal senso contribuendo contemporaneamente alla costruzione di piattaforme tecnologiche che, in logica cooperativa, favoriscano l’inclusione delle persone più fragili e l’abbattimento delle diseguaglianze.</w:t>
      </w:r>
    </w:p>
    <w:p w:rsidR="00D002AD" w:rsidRDefault="00D002AD">
      <w:pPr>
        <w:rPr>
          <w:rFonts w:ascii="Times New Roman" w:hAnsi="Times New Roman"/>
        </w:rPr>
      </w:pPr>
    </w:p>
    <w:p w:rsidR="00D002AD" w:rsidRDefault="00ED24B4">
      <w:pPr>
        <w:pStyle w:val="Nessunaspaziatur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Alberto Cazzulani, presidente Power Energia</w:t>
      </w:r>
    </w:p>
    <w:p w:rsidR="00D002AD" w:rsidRDefault="00ED24B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Power Energia favorisce l’acquisto di energia elettrica verde certificata da produzioni con fonti rinnovabili (idroelettrico) e offre ai soci consulenza in ordine ai consumi  fin</w:t>
      </w:r>
      <w:r w:rsidR="00703484">
        <w:rPr>
          <w:rFonts w:ascii="Times New Roman" w:hAnsi="Times New Roman"/>
          <w:sz w:val="28"/>
          <w:szCs w:val="28"/>
        </w:rPr>
        <w:t>alizzata ad interventi di effici</w:t>
      </w:r>
      <w:r>
        <w:rPr>
          <w:rFonts w:ascii="Times New Roman" w:hAnsi="Times New Roman"/>
          <w:sz w:val="28"/>
          <w:szCs w:val="28"/>
        </w:rPr>
        <w:t>entamento. Con il programma ”Think Green” propone soluzioni per forniture riguardanti: installazione di pannelli fotovo</w:t>
      </w:r>
      <w:r w:rsidR="0070348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taici, erogatori d’acqua allacciati alla rete idrica, infrastrutture di ricarica elettrica e noleggio di mezzi elettrici a lungo termine.</w:t>
      </w:r>
    </w:p>
    <w:p w:rsidR="00D002AD" w:rsidRDefault="00D002AD"/>
    <w:sectPr w:rsidR="00D002A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0E" w:rsidRDefault="00676F0E">
      <w:r>
        <w:separator/>
      </w:r>
    </w:p>
  </w:endnote>
  <w:endnote w:type="continuationSeparator" w:id="0">
    <w:p w:rsidR="00676F0E" w:rsidRDefault="006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0E" w:rsidRDefault="00676F0E">
      <w:r>
        <w:rPr>
          <w:color w:val="000000"/>
        </w:rPr>
        <w:separator/>
      </w:r>
    </w:p>
  </w:footnote>
  <w:footnote w:type="continuationSeparator" w:id="0">
    <w:p w:rsidR="00676F0E" w:rsidRDefault="0067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D"/>
    <w:rsid w:val="005F3EFE"/>
    <w:rsid w:val="00676F0E"/>
    <w:rsid w:val="00703484"/>
    <w:rsid w:val="00773B1F"/>
    <w:rsid w:val="00B61E8B"/>
    <w:rsid w:val="00D002AD"/>
    <w:rsid w:val="00E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807E-776D-45D6-8E26-FB4F755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49" w:lineRule="auto"/>
      <w:ind w:left="720"/>
    </w:pPr>
    <w:rPr>
      <w:lang w:eastAsia="en-US"/>
    </w:rPr>
  </w:style>
  <w:style w:type="paragraph" w:styleId="Nessunaspaziatura">
    <w:name w:val="No Spacing"/>
    <w:pPr>
      <w:spacing w:after="0" w:line="240" w:lineRule="auto"/>
      <w:textAlignment w:val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73B1F"/>
    <w:pPr>
      <w:suppressAutoHyphens w:val="0"/>
      <w:autoSpaceDN/>
      <w:textAlignment w:val="auto"/>
    </w:pPr>
    <w:rPr>
      <w:rFonts w:eastAsiaTheme="minorHAns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73B1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Giancarmine Vicinanza</dc:creator>
  <dc:description/>
  <cp:lastModifiedBy>Giancarmine Vicinanza</cp:lastModifiedBy>
  <cp:revision>3</cp:revision>
  <dcterms:created xsi:type="dcterms:W3CDTF">2021-11-02T09:31:00Z</dcterms:created>
  <dcterms:modified xsi:type="dcterms:W3CDTF">2021-11-02T11:32:00Z</dcterms:modified>
</cp:coreProperties>
</file>