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A5" w:rsidRDefault="00D550A5" w:rsidP="00745352">
      <w:pPr>
        <w:jc w:val="center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4C3D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Giornata della Sostenibilità" style="width:364.5pt;height:109.5pt;visibility:visible">
            <v:imagedata r:id="rId4" o:title=""/>
          </v:shape>
        </w:pic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Pr="00F94422" w:rsidRDefault="00D550A5" w:rsidP="00745352">
      <w:pPr>
        <w:jc w:val="right"/>
        <w:rPr>
          <w:rFonts w:ascii="Times New Roman" w:hAnsi="Times New Roman"/>
          <w:b/>
          <w:color w:val="0D0D0D"/>
          <w:sz w:val="28"/>
          <w:szCs w:val="28"/>
          <w:u w:val="single"/>
          <w:lang w:eastAsia="en-US"/>
        </w:rPr>
      </w:pPr>
      <w:r w:rsidRPr="00F94422">
        <w:rPr>
          <w:rFonts w:ascii="Times New Roman" w:hAnsi="Times New Roman"/>
          <w:b/>
          <w:color w:val="0D0D0D"/>
          <w:sz w:val="28"/>
          <w:szCs w:val="28"/>
          <w:u w:val="single"/>
          <w:lang w:eastAsia="en-US"/>
        </w:rPr>
        <w:t>A cura del Centro Studi Confcooperative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Default="00D550A5" w:rsidP="00745352">
      <w:pPr>
        <w:jc w:val="center"/>
        <w:rPr>
          <w:rFonts w:ascii="Times New Roman" w:hAnsi="Times New Roman"/>
          <w:b/>
          <w:color w:val="0D0D0D"/>
          <w:sz w:val="28"/>
          <w:szCs w:val="28"/>
          <w:lang w:eastAsia="en-US"/>
        </w:rPr>
      </w:pP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COMUNICATO STAMPA</w:t>
      </w:r>
    </w:p>
    <w:p w:rsidR="00D550A5" w:rsidRPr="006734A1" w:rsidRDefault="00D550A5" w:rsidP="00745352">
      <w:pPr>
        <w:jc w:val="center"/>
        <w:rPr>
          <w:rFonts w:ascii="Times New Roman" w:hAnsi="Times New Roman"/>
          <w:b/>
          <w:color w:val="0D0D0D"/>
          <w:sz w:val="28"/>
          <w:szCs w:val="28"/>
          <w:lang w:eastAsia="en-US"/>
        </w:rPr>
      </w:pP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Centro Studi Confcooperative</w:t>
      </w:r>
    </w:p>
    <w:p w:rsidR="00D550A5" w:rsidRPr="006734A1" w:rsidRDefault="00D550A5" w:rsidP="00745352">
      <w:pPr>
        <w:jc w:val="center"/>
        <w:rPr>
          <w:rFonts w:ascii="Times New Roman" w:hAnsi="Times New Roman"/>
          <w:b/>
          <w:color w:val="0D0D0D"/>
          <w:sz w:val="28"/>
          <w:szCs w:val="28"/>
          <w:lang w:eastAsia="en-US"/>
        </w:rPr>
      </w:pP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 xml:space="preserve">Sostenibilità, </w:t>
      </w:r>
      <w:r>
        <w:rPr>
          <w:rFonts w:ascii="Times New Roman" w:hAnsi="Times New Roman"/>
          <w:b/>
          <w:color w:val="0D0D0D"/>
          <w:sz w:val="28"/>
          <w:szCs w:val="28"/>
          <w:lang w:eastAsia="en-US"/>
        </w:rPr>
        <w:t>n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el 2020 spesa da 1 miliardo</w:t>
      </w:r>
      <w:r>
        <w:rPr>
          <w:rFonts w:ascii="Times New Roman" w:hAnsi="Times New Roman"/>
          <w:b/>
          <w:color w:val="0D0D0D"/>
          <w:sz w:val="28"/>
          <w:szCs w:val="28"/>
          <w:lang w:eastAsia="en-US"/>
        </w:rPr>
        <w:t xml:space="preserve"> di euro per le imprese di Confcooperative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  <w:lang w:eastAsia="en-US"/>
        </w:rPr>
        <w:t>Nel 2020 a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mmonta ad almeno </w:t>
      </w:r>
      <w:r w:rsidRPr="00DB32E1">
        <w:rPr>
          <w:rFonts w:ascii="Times New Roman" w:hAnsi="Times New Roman"/>
          <w:b/>
          <w:color w:val="0D0D0D"/>
          <w:sz w:val="28"/>
          <w:szCs w:val="28"/>
          <w:lang w:eastAsia="en-US"/>
        </w:rPr>
        <w:t>978 milioni di euro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la spesa sostenuta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dalle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imprese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aderenti che hanno investito in sostenibilità e in economia circolare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. L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>a stima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i/>
          <w:sz w:val="26"/>
          <w:szCs w:val="26"/>
        </w:rPr>
        <w:t>diffusa nel corso della Prima Giornata della Sostenibilità organizzata da Confcooperative,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è 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>sul 79% di cooperative aderenti che ha intrapreso almeno un’iniziativa riconducibile ad alcune delle principali tematiche dello sviluppo sostenibile e dell’e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conomia circolare.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Pr="00E85CFA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Riguardo all’ambito di intervento,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31,3%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ha indicato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l’acquisto e l’utilizzo di materiali di minore impatto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(quota quasi raddoppiata rispetto al 2017).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30,9%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ha segnalato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risparmio energetico e la riduzione dei consumi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.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19,8%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ha avviato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percorsi formativi e informativi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interni sulla sostenibilità.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17,6%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ha scelto di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promuovere l’eco-innovazione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e di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investire in tecnologie rispettose dell’ambiente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. Infine,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14,5%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si è indirizzato verso il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riciclo e il riutilizzo dei materiali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. 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Pr="00F94422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F94422">
        <w:rPr>
          <w:rFonts w:ascii="Times New Roman" w:hAnsi="Times New Roman"/>
          <w:color w:val="0D0D0D"/>
          <w:sz w:val="28"/>
          <w:szCs w:val="28"/>
          <w:lang w:eastAsia="en-US"/>
        </w:rPr>
        <w:t>Su base settoriale nell’</w:t>
      </w:r>
      <w:r w:rsidRPr="00F94422">
        <w:rPr>
          <w:rFonts w:ascii="Times New Roman" w:hAnsi="Times New Roman"/>
          <w:b/>
          <w:color w:val="0D0D0D"/>
          <w:sz w:val="28"/>
          <w:szCs w:val="28"/>
          <w:lang w:eastAsia="en-US"/>
        </w:rPr>
        <w:t xml:space="preserve">industria e costruzioni </w:t>
      </w:r>
      <w:r w:rsidRPr="00F94422">
        <w:rPr>
          <w:rFonts w:ascii="Times New Roman" w:hAnsi="Times New Roman"/>
          <w:color w:val="0D0D0D"/>
          <w:sz w:val="28"/>
          <w:szCs w:val="28"/>
          <w:lang w:eastAsia="en-US"/>
        </w:rPr>
        <w:t xml:space="preserve">l’ambito più interessato da progetti di investimento in sostenibilità è quello del risparmio energetico e riduzione dei consumi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(</w:t>
      </w:r>
      <w:r w:rsidRPr="00F94422">
        <w:rPr>
          <w:rFonts w:ascii="Times New Roman" w:hAnsi="Times New Roman"/>
          <w:color w:val="0D0D0D"/>
          <w:sz w:val="28"/>
          <w:szCs w:val="28"/>
          <w:lang w:eastAsia="en-US"/>
        </w:rPr>
        <w:t>il 44% delle cooperative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)</w:t>
      </w:r>
      <w:bookmarkStart w:id="0" w:name="_GoBack"/>
      <w:bookmarkEnd w:id="0"/>
      <w:r w:rsidRPr="00F94422">
        <w:rPr>
          <w:rFonts w:ascii="Times New Roman" w:hAnsi="Times New Roman"/>
          <w:color w:val="0D0D0D"/>
          <w:sz w:val="28"/>
          <w:szCs w:val="28"/>
          <w:lang w:eastAsia="en-US"/>
        </w:rPr>
        <w:t xml:space="preserve">. 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>Nell’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agroalimentare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la quota più elevata di cooperative (il 39%)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che ha avviato percorsi di sviluppo sostenibile si segnala nell’ambito degli investimenti in tecnologie rispettose dell’ambiente. 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Tra le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cooperative di servizi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e tra le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 xml:space="preserve">cooperative sociali 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l’acquisto e l’utilizzo di materiali di minore impatto rappresenta il principale ambito di investimento nello sviluppo sostenibile promosso dalle aderenti nel 2020 (rispettivamente con il 37% e 34% delle cooperative). </w:t>
      </w:r>
    </w:p>
    <w:p w:rsidR="00D550A5" w:rsidRDefault="00D550A5" w:rsidP="00745352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</w:p>
    <w:p w:rsidR="00D550A5" w:rsidRPr="00DC57AF" w:rsidRDefault="00D550A5" w:rsidP="00DC57AF">
      <w:pPr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 xml:space="preserve">Nella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cooperazione di consumo e distribuzione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</w:t>
      </w:r>
      <w:r w:rsidRPr="006734A1">
        <w:rPr>
          <w:rFonts w:ascii="Times New Roman" w:hAnsi="Times New Roman"/>
          <w:b/>
          <w:color w:val="0D0D0D"/>
          <w:sz w:val="28"/>
          <w:szCs w:val="28"/>
          <w:lang w:eastAsia="en-US"/>
        </w:rPr>
        <w:t>al dettaglio</w:t>
      </w:r>
      <w:r w:rsidRPr="00E85CFA">
        <w:rPr>
          <w:rFonts w:ascii="Times New Roman" w:hAnsi="Times New Roman"/>
          <w:color w:val="0D0D0D"/>
          <w:sz w:val="28"/>
          <w:szCs w:val="28"/>
          <w:lang w:eastAsia="en-US"/>
        </w:rPr>
        <w:t>, infine, quasi una cooperativa su tre, nel 2020, ha promosso e avviato momenti formativi/informativi interni sulle tematiche della sostenibilità.</w:t>
      </w:r>
    </w:p>
    <w:sectPr w:rsidR="00D550A5" w:rsidRPr="00DC57AF" w:rsidSect="00851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352"/>
    <w:rsid w:val="00054860"/>
    <w:rsid w:val="004C3D90"/>
    <w:rsid w:val="006734A1"/>
    <w:rsid w:val="00745352"/>
    <w:rsid w:val="00810B3F"/>
    <w:rsid w:val="00851546"/>
    <w:rsid w:val="008623B2"/>
    <w:rsid w:val="00AD74C0"/>
    <w:rsid w:val="00D550A5"/>
    <w:rsid w:val="00D96262"/>
    <w:rsid w:val="00DB32E1"/>
    <w:rsid w:val="00DC57AF"/>
    <w:rsid w:val="00E85CFA"/>
    <w:rsid w:val="00F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52"/>
    <w:pPr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Giancarmine Vicinanza</dc:creator>
  <cp:keywords/>
  <dc:description/>
  <cp:lastModifiedBy>Vicinanza</cp:lastModifiedBy>
  <cp:revision>2</cp:revision>
  <dcterms:created xsi:type="dcterms:W3CDTF">2021-11-03T20:43:00Z</dcterms:created>
  <dcterms:modified xsi:type="dcterms:W3CDTF">2021-11-03T20:43:00Z</dcterms:modified>
</cp:coreProperties>
</file>